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A3FF"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 xml:space="preserve">Toolbox Talk Template: </w:t>
      </w:r>
    </w:p>
    <w:p w14:paraId="4B92406F" w14:textId="77777777" w:rsidR="008819FB" w:rsidRPr="008856D3" w:rsidRDefault="002F37D5" w:rsidP="000F50C2">
      <w:pPr>
        <w:spacing w:before="120"/>
        <w:rPr>
          <w:rFonts w:ascii="Arial" w:hAnsi="Arial" w:cs="Arial"/>
          <w:sz w:val="22"/>
          <w:szCs w:val="22"/>
        </w:rPr>
      </w:pPr>
      <w:r>
        <w:rPr>
          <w:rFonts w:ascii="Arial" w:hAnsi="Arial" w:cs="Arial"/>
          <w:sz w:val="22"/>
          <w:szCs w:val="22"/>
        </w:rPr>
        <w:pict w14:anchorId="10A7BA65">
          <v:rect id="_x0000_i1025" style="width:0;height:1.5pt" o:hralign="center" o:hrstd="t" o:hr="t" fillcolor="#a0a0a0" stroked="f"/>
        </w:pict>
      </w:r>
    </w:p>
    <w:p w14:paraId="36D1F6D7" w14:textId="77777777" w:rsidR="0026515E" w:rsidRPr="0026515E" w:rsidRDefault="008819FB" w:rsidP="0026515E">
      <w:pPr>
        <w:tabs>
          <w:tab w:val="left" w:pos="1866"/>
        </w:tabs>
        <w:spacing w:before="120"/>
        <w:rPr>
          <w:rFonts w:ascii="Arial" w:hAnsi="Arial" w:cs="Arial"/>
          <w:b/>
          <w:bCs/>
          <w:sz w:val="22"/>
          <w:szCs w:val="22"/>
        </w:rPr>
      </w:pPr>
      <w:r w:rsidRPr="008856D3">
        <w:rPr>
          <w:rFonts w:ascii="Arial" w:hAnsi="Arial" w:cs="Arial"/>
          <w:b/>
          <w:bCs/>
          <w:sz w:val="22"/>
          <w:szCs w:val="22"/>
        </w:rPr>
        <w:t>Title:</w:t>
      </w:r>
      <w:r w:rsidR="000F50C2" w:rsidRPr="008856D3">
        <w:rPr>
          <w:rFonts w:ascii="Arial" w:hAnsi="Arial" w:cs="Arial"/>
          <w:b/>
          <w:bCs/>
          <w:sz w:val="22"/>
          <w:szCs w:val="22"/>
        </w:rPr>
        <w:t xml:space="preserve"> </w:t>
      </w:r>
      <w:r w:rsidR="0026515E" w:rsidRPr="0026515E">
        <w:rPr>
          <w:rFonts w:ascii="Arial" w:hAnsi="Arial" w:cs="Arial"/>
          <w:b/>
          <w:bCs/>
          <w:sz w:val="22"/>
          <w:szCs w:val="22"/>
        </w:rPr>
        <w:t>Welfare Facilities on Construction Sites</w:t>
      </w:r>
    </w:p>
    <w:p w14:paraId="629EDBF0" w14:textId="77777777" w:rsidR="008819FB" w:rsidRPr="008856D3" w:rsidRDefault="002F37D5" w:rsidP="000F50C2">
      <w:pPr>
        <w:spacing w:before="120"/>
        <w:rPr>
          <w:rFonts w:ascii="Arial" w:hAnsi="Arial" w:cs="Arial"/>
          <w:sz w:val="22"/>
          <w:szCs w:val="22"/>
        </w:rPr>
      </w:pPr>
      <w:r>
        <w:rPr>
          <w:rFonts w:ascii="Arial" w:hAnsi="Arial" w:cs="Arial"/>
          <w:sz w:val="22"/>
          <w:szCs w:val="22"/>
        </w:rPr>
        <w:pict w14:anchorId="0DA67D73">
          <v:rect id="_x0000_i1026" style="width:0;height:1.5pt" o:hralign="center" o:hrstd="t" o:hr="t" fillcolor="#a0a0a0" stroked="f"/>
        </w:pict>
      </w:r>
    </w:p>
    <w:p w14:paraId="07D35B65" w14:textId="77777777" w:rsidR="0026515E" w:rsidRDefault="008819FB" w:rsidP="0026515E">
      <w:pPr>
        <w:tabs>
          <w:tab w:val="left" w:pos="1816"/>
        </w:tabs>
        <w:spacing w:before="120"/>
        <w:rPr>
          <w:rFonts w:ascii="Arial" w:hAnsi="Arial" w:cs="Arial"/>
          <w:b/>
          <w:bCs/>
          <w:sz w:val="22"/>
          <w:szCs w:val="22"/>
        </w:rPr>
      </w:pPr>
      <w:r w:rsidRPr="008856D3">
        <w:rPr>
          <w:rFonts w:ascii="Arial" w:hAnsi="Arial" w:cs="Arial"/>
          <w:b/>
          <w:bCs/>
          <w:sz w:val="22"/>
          <w:szCs w:val="22"/>
        </w:rPr>
        <w:t>Introduction:</w:t>
      </w:r>
    </w:p>
    <w:p w14:paraId="03687DED" w14:textId="02BA86D6" w:rsidR="008819FB" w:rsidRPr="002F37D5" w:rsidRDefault="0026515E" w:rsidP="0026515E">
      <w:pPr>
        <w:tabs>
          <w:tab w:val="left" w:pos="1816"/>
        </w:tabs>
        <w:spacing w:before="120"/>
        <w:rPr>
          <w:rFonts w:ascii="Arial" w:hAnsi="Arial" w:cs="Arial"/>
          <w:sz w:val="22"/>
          <w:szCs w:val="22"/>
        </w:rPr>
      </w:pPr>
      <w:r w:rsidRPr="002F37D5">
        <w:rPr>
          <w:rFonts w:ascii="Arial" w:hAnsi="Arial" w:cs="Arial"/>
          <w:sz w:val="22"/>
          <w:szCs w:val="22"/>
        </w:rPr>
        <w:t>Welfare facilities are a legal requirement on all UK construction sites. They ensure workers have access to basic health, hygiene, and comfort provisions while at work. Proper welfare protects workers’ health, dignity, and wellbeing and plays an important role in maintaining morale and productivity.</w:t>
      </w:r>
    </w:p>
    <w:p w14:paraId="5AB3AA9D" w14:textId="77777777" w:rsidR="00DC7A1B" w:rsidRPr="008856D3" w:rsidRDefault="002F37D5" w:rsidP="000F50C2">
      <w:pPr>
        <w:spacing w:before="120"/>
        <w:rPr>
          <w:rFonts w:ascii="Arial" w:hAnsi="Arial" w:cs="Arial"/>
          <w:sz w:val="22"/>
          <w:szCs w:val="22"/>
        </w:rPr>
      </w:pPr>
      <w:r>
        <w:rPr>
          <w:rFonts w:ascii="Arial" w:hAnsi="Arial" w:cs="Arial"/>
          <w:sz w:val="22"/>
          <w:szCs w:val="22"/>
        </w:rPr>
        <w:pict w14:anchorId="47276690">
          <v:rect id="_x0000_i1027" style="width:0;height:1.5pt" o:hralign="center" o:hrstd="t" o:hr="t" fillcolor="#a0a0a0" stroked="f"/>
        </w:pict>
      </w:r>
    </w:p>
    <w:p w14:paraId="3139252D" w14:textId="0DB12782" w:rsidR="0026515E" w:rsidRPr="0026515E" w:rsidRDefault="008819FB" w:rsidP="0026515E">
      <w:pPr>
        <w:spacing w:before="120"/>
        <w:rPr>
          <w:rFonts w:ascii="Arial" w:hAnsi="Arial" w:cs="Arial"/>
          <w:b/>
          <w:bCs/>
          <w:sz w:val="22"/>
          <w:szCs w:val="22"/>
        </w:rPr>
      </w:pPr>
      <w:r w:rsidRPr="008856D3">
        <w:rPr>
          <w:rFonts w:ascii="Arial" w:hAnsi="Arial" w:cs="Arial"/>
          <w:b/>
          <w:bCs/>
          <w:sz w:val="22"/>
          <w:szCs w:val="22"/>
        </w:rPr>
        <w:t>Purpose of Today’s Toolbox Talk:</w:t>
      </w:r>
      <w:r w:rsidRPr="008856D3">
        <w:rPr>
          <w:rFonts w:ascii="Arial" w:hAnsi="Arial" w:cs="Arial"/>
          <w:sz w:val="22"/>
          <w:szCs w:val="22"/>
        </w:rPr>
        <w:br/>
      </w:r>
      <w:r w:rsidR="0026515E" w:rsidRPr="0026515E">
        <w:rPr>
          <w:rFonts w:ascii="Arial" w:hAnsi="Arial" w:cs="Arial"/>
          <w:sz w:val="22"/>
          <w:szCs w:val="22"/>
        </w:rPr>
        <w:t xml:space="preserve">In today’s </w:t>
      </w:r>
      <w:proofErr w:type="gramStart"/>
      <w:r w:rsidR="0026515E" w:rsidRPr="0026515E">
        <w:rPr>
          <w:rFonts w:ascii="Arial" w:hAnsi="Arial" w:cs="Arial"/>
          <w:sz w:val="22"/>
          <w:szCs w:val="22"/>
        </w:rPr>
        <w:t>10 minute</w:t>
      </w:r>
      <w:proofErr w:type="gramEnd"/>
      <w:r w:rsidR="0026515E" w:rsidRPr="0026515E">
        <w:rPr>
          <w:rFonts w:ascii="Arial" w:hAnsi="Arial" w:cs="Arial"/>
          <w:sz w:val="22"/>
          <w:szCs w:val="22"/>
        </w:rPr>
        <w:t xml:space="preserve"> session, we’ll cover:</w:t>
      </w:r>
    </w:p>
    <w:p w14:paraId="7853EA33" w14:textId="77777777" w:rsidR="0026515E" w:rsidRPr="0026515E" w:rsidRDefault="0026515E" w:rsidP="0026515E">
      <w:pPr>
        <w:numPr>
          <w:ilvl w:val="0"/>
          <w:numId w:val="13"/>
        </w:numPr>
        <w:spacing w:before="120"/>
        <w:rPr>
          <w:rFonts w:ascii="Arial" w:hAnsi="Arial" w:cs="Arial"/>
          <w:sz w:val="22"/>
          <w:szCs w:val="22"/>
        </w:rPr>
      </w:pPr>
      <w:r w:rsidRPr="0026515E">
        <w:rPr>
          <w:rFonts w:ascii="Arial" w:hAnsi="Arial" w:cs="Arial"/>
          <w:sz w:val="22"/>
          <w:szCs w:val="22"/>
        </w:rPr>
        <w:t>Legal requirements for welfare facilities on construction sites</w:t>
      </w:r>
    </w:p>
    <w:p w14:paraId="464CAD96" w14:textId="77777777" w:rsidR="0026515E" w:rsidRPr="0026515E" w:rsidRDefault="0026515E" w:rsidP="0026515E">
      <w:pPr>
        <w:numPr>
          <w:ilvl w:val="0"/>
          <w:numId w:val="13"/>
        </w:numPr>
        <w:spacing w:before="120"/>
        <w:rPr>
          <w:rFonts w:ascii="Arial" w:hAnsi="Arial" w:cs="Arial"/>
          <w:sz w:val="22"/>
          <w:szCs w:val="22"/>
        </w:rPr>
      </w:pPr>
      <w:r w:rsidRPr="0026515E">
        <w:rPr>
          <w:rFonts w:ascii="Arial" w:hAnsi="Arial" w:cs="Arial"/>
          <w:sz w:val="22"/>
          <w:szCs w:val="22"/>
        </w:rPr>
        <w:t>The types of welfare facilities that must be provided</w:t>
      </w:r>
    </w:p>
    <w:p w14:paraId="0EA64729" w14:textId="39BFBC01" w:rsidR="00E000AB" w:rsidRPr="0026515E" w:rsidRDefault="0026515E" w:rsidP="0026515E">
      <w:pPr>
        <w:numPr>
          <w:ilvl w:val="0"/>
          <w:numId w:val="13"/>
        </w:numPr>
        <w:spacing w:before="120"/>
        <w:rPr>
          <w:rFonts w:ascii="Arial" w:hAnsi="Arial" w:cs="Arial"/>
          <w:sz w:val="22"/>
          <w:szCs w:val="22"/>
        </w:rPr>
      </w:pPr>
      <w:r w:rsidRPr="0026515E">
        <w:rPr>
          <w:rFonts w:ascii="Arial" w:hAnsi="Arial" w:cs="Arial"/>
          <w:sz w:val="22"/>
          <w:szCs w:val="22"/>
        </w:rPr>
        <w:t>Responsibilities for maintaining suitable and sufficient welfare</w:t>
      </w:r>
    </w:p>
    <w:p w14:paraId="1C04968F" w14:textId="77777777" w:rsidR="008819FB" w:rsidRPr="008856D3" w:rsidRDefault="002F37D5" w:rsidP="000F50C2">
      <w:pPr>
        <w:spacing w:before="120"/>
        <w:rPr>
          <w:rFonts w:ascii="Arial" w:hAnsi="Arial" w:cs="Arial"/>
          <w:sz w:val="22"/>
          <w:szCs w:val="22"/>
        </w:rPr>
      </w:pPr>
      <w:r>
        <w:rPr>
          <w:rFonts w:ascii="Arial" w:hAnsi="Arial" w:cs="Arial"/>
          <w:sz w:val="22"/>
          <w:szCs w:val="22"/>
        </w:rPr>
        <w:pict w14:anchorId="4D968E95">
          <v:rect id="_x0000_i1028" style="width:0;height:1.5pt" o:hralign="center" o:hrstd="t" o:hr="t" fillcolor="#a0a0a0" stroked="f"/>
        </w:pict>
      </w:r>
    </w:p>
    <w:p w14:paraId="7710BB4C"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Key Content:</w:t>
      </w:r>
    </w:p>
    <w:p w14:paraId="6BC84161" w14:textId="77777777" w:rsidR="0026515E" w:rsidRPr="0026515E" w:rsidRDefault="0026515E" w:rsidP="0026515E">
      <w:pPr>
        <w:spacing w:before="120"/>
        <w:rPr>
          <w:rFonts w:ascii="Arial" w:hAnsi="Arial" w:cs="Arial"/>
          <w:b/>
          <w:bCs/>
          <w:sz w:val="22"/>
          <w:szCs w:val="22"/>
        </w:rPr>
      </w:pPr>
      <w:r w:rsidRPr="0026515E">
        <w:rPr>
          <w:rFonts w:ascii="Arial" w:hAnsi="Arial" w:cs="Arial"/>
          <w:b/>
          <w:bCs/>
          <w:sz w:val="22"/>
          <w:szCs w:val="22"/>
        </w:rPr>
        <w:t>1. Legal Requirements for Welfare Facilities</w:t>
      </w:r>
    </w:p>
    <w:p w14:paraId="7C810625" w14:textId="77777777" w:rsidR="0026515E" w:rsidRPr="0026515E" w:rsidRDefault="0026515E" w:rsidP="0026515E">
      <w:pPr>
        <w:numPr>
          <w:ilvl w:val="0"/>
          <w:numId w:val="14"/>
        </w:numPr>
        <w:spacing w:before="120"/>
        <w:rPr>
          <w:rFonts w:ascii="Arial" w:hAnsi="Arial" w:cs="Arial"/>
          <w:sz w:val="22"/>
          <w:szCs w:val="22"/>
        </w:rPr>
      </w:pPr>
      <w:r w:rsidRPr="0026515E">
        <w:rPr>
          <w:rFonts w:ascii="Arial" w:hAnsi="Arial" w:cs="Arial"/>
          <w:sz w:val="22"/>
          <w:szCs w:val="22"/>
        </w:rPr>
        <w:t>Welfare facilities are required under the Construction (Design and Management) Regulations 2015.</w:t>
      </w:r>
    </w:p>
    <w:p w14:paraId="7CD5A675" w14:textId="77777777" w:rsidR="0026515E" w:rsidRPr="0026515E" w:rsidRDefault="0026515E" w:rsidP="0026515E">
      <w:pPr>
        <w:numPr>
          <w:ilvl w:val="0"/>
          <w:numId w:val="14"/>
        </w:numPr>
        <w:spacing w:before="120"/>
        <w:rPr>
          <w:rFonts w:ascii="Arial" w:hAnsi="Arial" w:cs="Arial"/>
          <w:sz w:val="22"/>
          <w:szCs w:val="22"/>
        </w:rPr>
      </w:pPr>
      <w:r w:rsidRPr="0026515E">
        <w:rPr>
          <w:rFonts w:ascii="Arial" w:hAnsi="Arial" w:cs="Arial"/>
          <w:sz w:val="22"/>
          <w:szCs w:val="22"/>
        </w:rPr>
        <w:t>Facilities must be suitable and sufficient and available from the start of the project, not installed later.</w:t>
      </w:r>
    </w:p>
    <w:p w14:paraId="2B5FE1CC" w14:textId="77777777" w:rsidR="0026515E" w:rsidRPr="0026515E" w:rsidRDefault="0026515E" w:rsidP="0026515E">
      <w:pPr>
        <w:numPr>
          <w:ilvl w:val="0"/>
          <w:numId w:val="14"/>
        </w:numPr>
        <w:spacing w:before="120"/>
        <w:rPr>
          <w:rFonts w:ascii="Arial" w:hAnsi="Arial" w:cs="Arial"/>
          <w:b/>
          <w:bCs/>
          <w:sz w:val="22"/>
          <w:szCs w:val="22"/>
        </w:rPr>
      </w:pPr>
      <w:r w:rsidRPr="0026515E">
        <w:rPr>
          <w:rFonts w:ascii="Arial" w:hAnsi="Arial" w:cs="Arial"/>
          <w:sz w:val="22"/>
          <w:szCs w:val="22"/>
        </w:rPr>
        <w:t>Welfare must be maintained in a clean, usable condition throughout the work.</w:t>
      </w:r>
    </w:p>
    <w:p w14:paraId="693A11EE" w14:textId="77777777" w:rsidR="008819FB" w:rsidRPr="008856D3" w:rsidRDefault="002F37D5" w:rsidP="000F50C2">
      <w:pPr>
        <w:spacing w:before="120"/>
        <w:rPr>
          <w:rFonts w:ascii="Arial" w:hAnsi="Arial" w:cs="Arial"/>
          <w:sz w:val="22"/>
          <w:szCs w:val="22"/>
        </w:rPr>
      </w:pPr>
      <w:r>
        <w:rPr>
          <w:rFonts w:ascii="Arial" w:hAnsi="Arial" w:cs="Arial"/>
          <w:sz w:val="22"/>
          <w:szCs w:val="22"/>
        </w:rPr>
        <w:pict w14:anchorId="23E8D607">
          <v:rect id="_x0000_i1029" style="width:0;height:1.5pt" o:hralign="center" o:hrstd="t" o:hr="t" fillcolor="#a0a0a0" stroked="f"/>
        </w:pict>
      </w:r>
    </w:p>
    <w:p w14:paraId="2995D22E" w14:textId="77777777" w:rsidR="0026515E" w:rsidRPr="0026515E" w:rsidRDefault="0026515E" w:rsidP="0026515E">
      <w:pPr>
        <w:spacing w:before="120"/>
        <w:rPr>
          <w:rFonts w:ascii="Arial" w:hAnsi="Arial" w:cs="Arial"/>
          <w:b/>
          <w:bCs/>
          <w:sz w:val="22"/>
          <w:szCs w:val="22"/>
        </w:rPr>
      </w:pPr>
      <w:r w:rsidRPr="0026515E">
        <w:rPr>
          <w:rFonts w:ascii="Arial" w:hAnsi="Arial" w:cs="Arial"/>
          <w:b/>
          <w:bCs/>
          <w:sz w:val="22"/>
          <w:szCs w:val="22"/>
        </w:rPr>
        <w:t>2. Sanitary Facilities (Toilets)</w:t>
      </w:r>
    </w:p>
    <w:p w14:paraId="73AD0181" w14:textId="77777777" w:rsidR="0026515E" w:rsidRPr="0026515E" w:rsidRDefault="0026515E" w:rsidP="0026515E">
      <w:pPr>
        <w:numPr>
          <w:ilvl w:val="0"/>
          <w:numId w:val="15"/>
        </w:numPr>
        <w:spacing w:before="120"/>
        <w:rPr>
          <w:rFonts w:ascii="Arial" w:hAnsi="Arial" w:cs="Arial"/>
          <w:sz w:val="22"/>
          <w:szCs w:val="22"/>
        </w:rPr>
      </w:pPr>
      <w:r w:rsidRPr="0026515E">
        <w:rPr>
          <w:rFonts w:ascii="Arial" w:hAnsi="Arial" w:cs="Arial"/>
          <w:sz w:val="22"/>
          <w:szCs w:val="22"/>
        </w:rPr>
        <w:t>Toilets must be adequate, clean, well-lit, ventilated, and conveniently located.</w:t>
      </w:r>
    </w:p>
    <w:p w14:paraId="4F1FA70D" w14:textId="77777777" w:rsidR="0026515E" w:rsidRPr="0026515E" w:rsidRDefault="0026515E" w:rsidP="0026515E">
      <w:pPr>
        <w:numPr>
          <w:ilvl w:val="0"/>
          <w:numId w:val="15"/>
        </w:numPr>
        <w:spacing w:before="120"/>
        <w:rPr>
          <w:rFonts w:ascii="Arial" w:hAnsi="Arial" w:cs="Arial"/>
          <w:sz w:val="22"/>
          <w:szCs w:val="22"/>
        </w:rPr>
      </w:pPr>
      <w:r w:rsidRPr="0026515E">
        <w:rPr>
          <w:rFonts w:ascii="Arial" w:hAnsi="Arial" w:cs="Arial"/>
          <w:sz w:val="22"/>
          <w:szCs w:val="22"/>
        </w:rPr>
        <w:t>Flushing toilets with running water should be provided where possible.</w:t>
      </w:r>
    </w:p>
    <w:p w14:paraId="0C587ADD" w14:textId="77777777" w:rsidR="0026515E" w:rsidRPr="0026515E" w:rsidRDefault="0026515E" w:rsidP="0026515E">
      <w:pPr>
        <w:numPr>
          <w:ilvl w:val="0"/>
          <w:numId w:val="15"/>
        </w:numPr>
        <w:spacing w:before="120"/>
        <w:rPr>
          <w:rFonts w:ascii="Arial" w:hAnsi="Arial" w:cs="Arial"/>
          <w:sz w:val="22"/>
          <w:szCs w:val="22"/>
        </w:rPr>
      </w:pPr>
      <w:r w:rsidRPr="0026515E">
        <w:rPr>
          <w:rFonts w:ascii="Arial" w:hAnsi="Arial" w:cs="Arial"/>
          <w:sz w:val="22"/>
          <w:szCs w:val="22"/>
        </w:rPr>
        <w:t>Chemical toilets may be used on short-duration or remote sites but must be serviced regularly.</w:t>
      </w:r>
    </w:p>
    <w:p w14:paraId="396E1B4B" w14:textId="77777777" w:rsidR="0026515E" w:rsidRPr="0026515E" w:rsidRDefault="0026515E" w:rsidP="0026515E">
      <w:pPr>
        <w:numPr>
          <w:ilvl w:val="0"/>
          <w:numId w:val="15"/>
        </w:numPr>
        <w:spacing w:before="120"/>
        <w:rPr>
          <w:rFonts w:ascii="Arial" w:hAnsi="Arial" w:cs="Arial"/>
          <w:sz w:val="22"/>
          <w:szCs w:val="22"/>
        </w:rPr>
      </w:pPr>
      <w:r w:rsidRPr="0026515E">
        <w:rPr>
          <w:rFonts w:ascii="Arial" w:hAnsi="Arial" w:cs="Arial"/>
          <w:sz w:val="22"/>
          <w:szCs w:val="22"/>
        </w:rPr>
        <w:t>Separate male and female toilets, or lockable unisex toilets, must be provided.</w:t>
      </w:r>
    </w:p>
    <w:p w14:paraId="5019F020" w14:textId="77777777" w:rsidR="0026515E" w:rsidRPr="0026515E" w:rsidRDefault="0026515E" w:rsidP="0026515E">
      <w:pPr>
        <w:numPr>
          <w:ilvl w:val="0"/>
          <w:numId w:val="15"/>
        </w:numPr>
        <w:spacing w:before="120"/>
        <w:rPr>
          <w:rFonts w:ascii="Arial" w:hAnsi="Arial" w:cs="Arial"/>
          <w:sz w:val="22"/>
          <w:szCs w:val="22"/>
        </w:rPr>
      </w:pPr>
      <w:r w:rsidRPr="0026515E">
        <w:rPr>
          <w:rFonts w:ascii="Arial" w:hAnsi="Arial" w:cs="Arial"/>
          <w:sz w:val="22"/>
          <w:szCs w:val="22"/>
        </w:rPr>
        <w:t>Sanitary waste disposal facilities should be available to maintain dignity and hygiene.</w:t>
      </w:r>
    </w:p>
    <w:p w14:paraId="5F711ABB" w14:textId="77777777" w:rsidR="008819FB" w:rsidRPr="008856D3" w:rsidRDefault="002F37D5" w:rsidP="000F50C2">
      <w:pPr>
        <w:spacing w:before="120"/>
        <w:rPr>
          <w:rFonts w:ascii="Arial" w:hAnsi="Arial" w:cs="Arial"/>
          <w:sz w:val="22"/>
          <w:szCs w:val="22"/>
        </w:rPr>
      </w:pPr>
      <w:r>
        <w:rPr>
          <w:rFonts w:ascii="Arial" w:hAnsi="Arial" w:cs="Arial"/>
          <w:sz w:val="22"/>
          <w:szCs w:val="22"/>
        </w:rPr>
        <w:pict w14:anchorId="36679399">
          <v:rect id="_x0000_i1030" style="width:0;height:1.5pt" o:hralign="center" o:hrstd="t" o:hr="t" fillcolor="#a0a0a0" stroked="f"/>
        </w:pict>
      </w:r>
    </w:p>
    <w:p w14:paraId="0F4036A0" w14:textId="77777777" w:rsidR="0026515E" w:rsidRDefault="0026515E">
      <w:pPr>
        <w:rPr>
          <w:rFonts w:ascii="Arial" w:hAnsi="Arial" w:cs="Arial"/>
          <w:b/>
          <w:bCs/>
          <w:sz w:val="22"/>
          <w:szCs w:val="22"/>
        </w:rPr>
      </w:pPr>
      <w:r>
        <w:rPr>
          <w:rFonts w:ascii="Arial" w:hAnsi="Arial" w:cs="Arial"/>
          <w:b/>
          <w:bCs/>
          <w:sz w:val="22"/>
          <w:szCs w:val="22"/>
        </w:rPr>
        <w:br w:type="page"/>
      </w:r>
    </w:p>
    <w:p w14:paraId="21E509E0" w14:textId="2290274B" w:rsidR="0026515E" w:rsidRPr="0026515E" w:rsidRDefault="0026515E" w:rsidP="0026515E">
      <w:pPr>
        <w:spacing w:before="120"/>
        <w:rPr>
          <w:rFonts w:ascii="Arial" w:hAnsi="Arial" w:cs="Arial"/>
          <w:b/>
          <w:bCs/>
          <w:sz w:val="22"/>
          <w:szCs w:val="22"/>
        </w:rPr>
      </w:pPr>
      <w:r w:rsidRPr="0026515E">
        <w:rPr>
          <w:rFonts w:ascii="Arial" w:hAnsi="Arial" w:cs="Arial"/>
          <w:b/>
          <w:bCs/>
          <w:sz w:val="22"/>
          <w:szCs w:val="22"/>
        </w:rPr>
        <w:lastRenderedPageBreak/>
        <w:t>3. Washing Facilities</w:t>
      </w:r>
    </w:p>
    <w:p w14:paraId="6AB896BC" w14:textId="77777777" w:rsidR="0026515E" w:rsidRPr="0026515E" w:rsidRDefault="0026515E" w:rsidP="0026515E">
      <w:pPr>
        <w:numPr>
          <w:ilvl w:val="0"/>
          <w:numId w:val="16"/>
        </w:numPr>
        <w:spacing w:before="120"/>
        <w:rPr>
          <w:rFonts w:ascii="Arial" w:hAnsi="Arial" w:cs="Arial"/>
          <w:sz w:val="22"/>
          <w:szCs w:val="22"/>
        </w:rPr>
      </w:pPr>
      <w:r w:rsidRPr="0026515E">
        <w:rPr>
          <w:rFonts w:ascii="Arial" w:hAnsi="Arial" w:cs="Arial"/>
          <w:sz w:val="22"/>
          <w:szCs w:val="22"/>
        </w:rPr>
        <w:t>Must include hot and cold (or warm) running water, soap, towels or hand dryers.</w:t>
      </w:r>
    </w:p>
    <w:p w14:paraId="467BAB9F" w14:textId="77777777" w:rsidR="0026515E" w:rsidRPr="0026515E" w:rsidRDefault="0026515E" w:rsidP="0026515E">
      <w:pPr>
        <w:numPr>
          <w:ilvl w:val="0"/>
          <w:numId w:val="16"/>
        </w:numPr>
        <w:spacing w:before="120"/>
        <w:rPr>
          <w:rFonts w:ascii="Arial" w:hAnsi="Arial" w:cs="Arial"/>
          <w:sz w:val="22"/>
          <w:szCs w:val="22"/>
        </w:rPr>
      </w:pPr>
      <w:r w:rsidRPr="0026515E">
        <w:rPr>
          <w:rFonts w:ascii="Arial" w:hAnsi="Arial" w:cs="Arial"/>
          <w:sz w:val="22"/>
          <w:szCs w:val="22"/>
        </w:rPr>
        <w:t>Sinks must be large enough to wash forearms.</w:t>
      </w:r>
    </w:p>
    <w:p w14:paraId="1173E03C" w14:textId="77777777" w:rsidR="0026515E" w:rsidRPr="0026515E" w:rsidRDefault="0026515E" w:rsidP="0026515E">
      <w:pPr>
        <w:numPr>
          <w:ilvl w:val="0"/>
          <w:numId w:val="16"/>
        </w:numPr>
        <w:spacing w:before="120"/>
        <w:rPr>
          <w:rFonts w:ascii="Arial" w:hAnsi="Arial" w:cs="Arial"/>
          <w:sz w:val="22"/>
          <w:szCs w:val="22"/>
        </w:rPr>
      </w:pPr>
      <w:r w:rsidRPr="0026515E">
        <w:rPr>
          <w:rFonts w:ascii="Arial" w:hAnsi="Arial" w:cs="Arial"/>
          <w:sz w:val="22"/>
          <w:szCs w:val="22"/>
        </w:rPr>
        <w:t>Facilities should be located near toilets and rest areas.</w:t>
      </w:r>
    </w:p>
    <w:p w14:paraId="256E1FBC" w14:textId="77777777" w:rsidR="0026515E" w:rsidRPr="0026515E" w:rsidRDefault="0026515E" w:rsidP="0026515E">
      <w:pPr>
        <w:numPr>
          <w:ilvl w:val="0"/>
          <w:numId w:val="16"/>
        </w:numPr>
        <w:spacing w:before="120"/>
        <w:rPr>
          <w:rFonts w:ascii="Arial" w:hAnsi="Arial" w:cs="Arial"/>
          <w:sz w:val="22"/>
          <w:szCs w:val="22"/>
        </w:rPr>
      </w:pPr>
      <w:r w:rsidRPr="0026515E">
        <w:rPr>
          <w:rFonts w:ascii="Arial" w:hAnsi="Arial" w:cs="Arial"/>
          <w:sz w:val="22"/>
          <w:szCs w:val="22"/>
        </w:rPr>
        <w:t>Showers are required where work is particularly dirty, dusty, or involves hazardous substances.</w:t>
      </w:r>
    </w:p>
    <w:p w14:paraId="6507F1F4" w14:textId="77777777" w:rsidR="008819FB" w:rsidRPr="008856D3" w:rsidRDefault="002F37D5" w:rsidP="000F50C2">
      <w:pPr>
        <w:spacing w:before="120"/>
        <w:rPr>
          <w:rFonts w:ascii="Arial" w:hAnsi="Arial" w:cs="Arial"/>
          <w:sz w:val="22"/>
          <w:szCs w:val="22"/>
        </w:rPr>
      </w:pPr>
      <w:r>
        <w:rPr>
          <w:rFonts w:ascii="Arial" w:hAnsi="Arial" w:cs="Arial"/>
          <w:sz w:val="22"/>
          <w:szCs w:val="22"/>
        </w:rPr>
        <w:pict w14:anchorId="3E96323E">
          <v:rect id="_x0000_i1031" style="width:0;height:1.5pt" o:hralign="center" o:hrstd="t" o:hr="t" fillcolor="#a0a0a0" stroked="f"/>
        </w:pict>
      </w:r>
    </w:p>
    <w:p w14:paraId="762EA836" w14:textId="77777777" w:rsidR="0026515E" w:rsidRPr="0026515E" w:rsidRDefault="0026515E" w:rsidP="0026515E">
      <w:pPr>
        <w:spacing w:before="120"/>
        <w:rPr>
          <w:rFonts w:ascii="Arial" w:hAnsi="Arial" w:cs="Arial"/>
          <w:b/>
          <w:bCs/>
          <w:sz w:val="22"/>
          <w:szCs w:val="22"/>
        </w:rPr>
      </w:pPr>
      <w:r w:rsidRPr="0026515E">
        <w:rPr>
          <w:rFonts w:ascii="Arial" w:hAnsi="Arial" w:cs="Arial"/>
          <w:b/>
          <w:bCs/>
          <w:sz w:val="22"/>
          <w:szCs w:val="22"/>
        </w:rPr>
        <w:t>4. Rest Areas, Canteens &amp; Drinking Water</w:t>
      </w:r>
    </w:p>
    <w:p w14:paraId="76F80777" w14:textId="77777777" w:rsidR="0026515E" w:rsidRPr="0026515E" w:rsidRDefault="0026515E" w:rsidP="0026515E">
      <w:pPr>
        <w:numPr>
          <w:ilvl w:val="0"/>
          <w:numId w:val="17"/>
        </w:numPr>
        <w:spacing w:before="120"/>
        <w:rPr>
          <w:rFonts w:ascii="Arial" w:hAnsi="Arial" w:cs="Arial"/>
          <w:sz w:val="22"/>
          <w:szCs w:val="22"/>
        </w:rPr>
      </w:pPr>
      <w:r w:rsidRPr="0026515E">
        <w:rPr>
          <w:rFonts w:ascii="Arial" w:hAnsi="Arial" w:cs="Arial"/>
          <w:sz w:val="22"/>
          <w:szCs w:val="22"/>
        </w:rPr>
        <w:t>Workers must have a clean, warm, dry place to sit and eat meals.</w:t>
      </w:r>
    </w:p>
    <w:p w14:paraId="24435725" w14:textId="77777777" w:rsidR="0026515E" w:rsidRPr="0026515E" w:rsidRDefault="0026515E" w:rsidP="0026515E">
      <w:pPr>
        <w:numPr>
          <w:ilvl w:val="0"/>
          <w:numId w:val="17"/>
        </w:numPr>
        <w:spacing w:before="120"/>
        <w:rPr>
          <w:rFonts w:ascii="Arial" w:hAnsi="Arial" w:cs="Arial"/>
          <w:sz w:val="22"/>
          <w:szCs w:val="22"/>
        </w:rPr>
      </w:pPr>
      <w:r w:rsidRPr="0026515E">
        <w:rPr>
          <w:rFonts w:ascii="Arial" w:hAnsi="Arial" w:cs="Arial"/>
          <w:sz w:val="22"/>
          <w:szCs w:val="22"/>
        </w:rPr>
        <w:t>Facilities should allow food preparation or warming and safe food storage.</w:t>
      </w:r>
    </w:p>
    <w:p w14:paraId="4672E41B" w14:textId="77777777" w:rsidR="0026515E" w:rsidRPr="0026515E" w:rsidRDefault="0026515E" w:rsidP="0026515E">
      <w:pPr>
        <w:numPr>
          <w:ilvl w:val="0"/>
          <w:numId w:val="17"/>
        </w:numPr>
        <w:spacing w:before="120"/>
        <w:rPr>
          <w:rFonts w:ascii="Arial" w:hAnsi="Arial" w:cs="Arial"/>
          <w:sz w:val="22"/>
          <w:szCs w:val="22"/>
        </w:rPr>
      </w:pPr>
      <w:r w:rsidRPr="0026515E">
        <w:rPr>
          <w:rFonts w:ascii="Arial" w:hAnsi="Arial" w:cs="Arial"/>
          <w:sz w:val="22"/>
          <w:szCs w:val="22"/>
        </w:rPr>
        <w:t>Drinking water must be readily available and clearly identified.</w:t>
      </w:r>
    </w:p>
    <w:p w14:paraId="40A5CC74" w14:textId="77777777" w:rsidR="0026515E" w:rsidRPr="0026515E" w:rsidRDefault="0026515E" w:rsidP="0026515E">
      <w:pPr>
        <w:numPr>
          <w:ilvl w:val="0"/>
          <w:numId w:val="17"/>
        </w:numPr>
        <w:spacing w:before="120"/>
        <w:rPr>
          <w:rFonts w:ascii="Arial" w:hAnsi="Arial" w:cs="Arial"/>
          <w:sz w:val="22"/>
          <w:szCs w:val="22"/>
        </w:rPr>
      </w:pPr>
      <w:r w:rsidRPr="0026515E">
        <w:rPr>
          <w:rFonts w:ascii="Arial" w:hAnsi="Arial" w:cs="Arial"/>
          <w:sz w:val="22"/>
          <w:szCs w:val="22"/>
        </w:rPr>
        <w:t>Rest areas must be protected from the weather, non-smoking, and free from dust or contaminants.</w:t>
      </w:r>
    </w:p>
    <w:p w14:paraId="565BBD47" w14:textId="77777777" w:rsidR="008819FB" w:rsidRPr="008856D3" w:rsidRDefault="002F37D5" w:rsidP="000F50C2">
      <w:pPr>
        <w:spacing w:before="120"/>
        <w:rPr>
          <w:rFonts w:ascii="Arial" w:hAnsi="Arial" w:cs="Arial"/>
          <w:sz w:val="22"/>
          <w:szCs w:val="22"/>
        </w:rPr>
      </w:pPr>
      <w:r>
        <w:rPr>
          <w:rFonts w:ascii="Arial" w:hAnsi="Arial" w:cs="Arial"/>
          <w:sz w:val="22"/>
          <w:szCs w:val="22"/>
        </w:rPr>
        <w:pict w14:anchorId="23125050">
          <v:rect id="_x0000_i1032" style="width:0;height:1.5pt" o:hralign="center" o:hrstd="t" o:hr="t" fillcolor="#a0a0a0" stroked="f"/>
        </w:pict>
      </w:r>
    </w:p>
    <w:p w14:paraId="59FDF3F7" w14:textId="77777777" w:rsidR="0026515E" w:rsidRPr="0026515E" w:rsidRDefault="0026515E" w:rsidP="0026515E">
      <w:pPr>
        <w:rPr>
          <w:rFonts w:ascii="Arial" w:hAnsi="Arial" w:cs="Arial"/>
          <w:b/>
          <w:bCs/>
          <w:sz w:val="22"/>
          <w:szCs w:val="22"/>
        </w:rPr>
      </w:pPr>
      <w:r w:rsidRPr="0026515E">
        <w:rPr>
          <w:rFonts w:ascii="Arial" w:hAnsi="Arial" w:cs="Arial"/>
          <w:b/>
          <w:bCs/>
          <w:sz w:val="22"/>
          <w:szCs w:val="22"/>
        </w:rPr>
        <w:t>5. Changing Rooms, Storage &amp; Maintenance</w:t>
      </w:r>
    </w:p>
    <w:p w14:paraId="7E8522EB" w14:textId="77777777" w:rsidR="0026515E" w:rsidRPr="0026515E" w:rsidRDefault="0026515E" w:rsidP="0026515E">
      <w:pPr>
        <w:numPr>
          <w:ilvl w:val="0"/>
          <w:numId w:val="18"/>
        </w:numPr>
        <w:rPr>
          <w:rFonts w:ascii="Arial" w:hAnsi="Arial" w:cs="Arial"/>
          <w:sz w:val="22"/>
          <w:szCs w:val="22"/>
        </w:rPr>
      </w:pPr>
      <w:r w:rsidRPr="0026515E">
        <w:rPr>
          <w:rFonts w:ascii="Arial" w:hAnsi="Arial" w:cs="Arial"/>
          <w:sz w:val="22"/>
          <w:szCs w:val="22"/>
        </w:rPr>
        <w:t>Changing facilities must be provided where workers wear special clothing or PPE.</w:t>
      </w:r>
    </w:p>
    <w:p w14:paraId="5499898E" w14:textId="77777777" w:rsidR="0026515E" w:rsidRPr="0026515E" w:rsidRDefault="0026515E" w:rsidP="0026515E">
      <w:pPr>
        <w:numPr>
          <w:ilvl w:val="0"/>
          <w:numId w:val="18"/>
        </w:numPr>
        <w:rPr>
          <w:rFonts w:ascii="Arial" w:hAnsi="Arial" w:cs="Arial"/>
          <w:sz w:val="22"/>
          <w:szCs w:val="22"/>
        </w:rPr>
      </w:pPr>
      <w:r w:rsidRPr="0026515E">
        <w:rPr>
          <w:rFonts w:ascii="Arial" w:hAnsi="Arial" w:cs="Arial"/>
          <w:sz w:val="22"/>
          <w:szCs w:val="22"/>
        </w:rPr>
        <w:t>Facilities should include benches, lockers or hooks, and secure storage for clean and dirty clothing.</w:t>
      </w:r>
    </w:p>
    <w:p w14:paraId="213EF3EA" w14:textId="77777777" w:rsidR="0026515E" w:rsidRPr="0026515E" w:rsidRDefault="0026515E" w:rsidP="0026515E">
      <w:pPr>
        <w:numPr>
          <w:ilvl w:val="0"/>
          <w:numId w:val="18"/>
        </w:numPr>
        <w:rPr>
          <w:rFonts w:ascii="Arial" w:hAnsi="Arial" w:cs="Arial"/>
          <w:sz w:val="22"/>
          <w:szCs w:val="22"/>
        </w:rPr>
      </w:pPr>
      <w:r w:rsidRPr="0026515E">
        <w:rPr>
          <w:rFonts w:ascii="Arial" w:hAnsi="Arial" w:cs="Arial"/>
          <w:sz w:val="22"/>
          <w:szCs w:val="22"/>
        </w:rPr>
        <w:t>Drying rooms should be provided for wet clothing where needed.</w:t>
      </w:r>
    </w:p>
    <w:p w14:paraId="07201DFF" w14:textId="77777777" w:rsidR="0026515E" w:rsidRPr="0026515E" w:rsidRDefault="0026515E" w:rsidP="0026515E">
      <w:pPr>
        <w:numPr>
          <w:ilvl w:val="0"/>
          <w:numId w:val="18"/>
        </w:numPr>
        <w:rPr>
          <w:rFonts w:ascii="Arial" w:hAnsi="Arial" w:cs="Arial"/>
          <w:b/>
          <w:bCs/>
          <w:sz w:val="22"/>
          <w:szCs w:val="22"/>
        </w:rPr>
      </w:pPr>
      <w:r w:rsidRPr="0026515E">
        <w:rPr>
          <w:rFonts w:ascii="Arial" w:hAnsi="Arial" w:cs="Arial"/>
          <w:sz w:val="22"/>
          <w:szCs w:val="22"/>
        </w:rPr>
        <w:t>Welfare areas must be regularly inspected, cleaned, stocked, and kept fully functional.</w:t>
      </w:r>
    </w:p>
    <w:p w14:paraId="7D444A11" w14:textId="77777777" w:rsidR="0051019B" w:rsidRPr="008856D3" w:rsidRDefault="002F37D5" w:rsidP="0051019B">
      <w:pPr>
        <w:rPr>
          <w:rFonts w:ascii="Arial" w:hAnsi="Arial" w:cs="Arial"/>
          <w:b/>
          <w:bCs/>
          <w:sz w:val="22"/>
          <w:szCs w:val="22"/>
        </w:rPr>
      </w:pPr>
      <w:r>
        <w:rPr>
          <w:rFonts w:ascii="Arial" w:hAnsi="Arial" w:cs="Arial"/>
          <w:sz w:val="22"/>
          <w:szCs w:val="22"/>
        </w:rPr>
        <w:pict w14:anchorId="109FD419">
          <v:rect id="_x0000_i1033" style="width:0;height:1.5pt" o:hralign="center" o:hrstd="t" o:hr="t" fillcolor="#a0a0a0" stroked="f"/>
        </w:pict>
      </w:r>
    </w:p>
    <w:p w14:paraId="15D9EF95" w14:textId="77777777" w:rsidR="0026515E" w:rsidRPr="0026515E" w:rsidRDefault="0026515E" w:rsidP="0026515E">
      <w:pPr>
        <w:spacing w:before="120"/>
        <w:rPr>
          <w:rFonts w:ascii="Arial" w:hAnsi="Arial" w:cs="Arial"/>
          <w:b/>
          <w:bCs/>
          <w:sz w:val="22"/>
          <w:szCs w:val="22"/>
        </w:rPr>
      </w:pPr>
      <w:r w:rsidRPr="0026515E">
        <w:rPr>
          <w:rFonts w:ascii="Arial" w:hAnsi="Arial" w:cs="Arial"/>
          <w:b/>
          <w:bCs/>
          <w:sz w:val="22"/>
          <w:szCs w:val="22"/>
        </w:rPr>
        <w:t>3 Key Takeaways</w:t>
      </w:r>
    </w:p>
    <w:p w14:paraId="64C8DAD4" w14:textId="77777777" w:rsidR="0026515E" w:rsidRPr="0026515E" w:rsidRDefault="0026515E" w:rsidP="0026515E">
      <w:pPr>
        <w:numPr>
          <w:ilvl w:val="0"/>
          <w:numId w:val="19"/>
        </w:numPr>
        <w:spacing w:before="120"/>
        <w:rPr>
          <w:rFonts w:ascii="Arial" w:hAnsi="Arial" w:cs="Arial"/>
          <w:sz w:val="22"/>
          <w:szCs w:val="22"/>
        </w:rPr>
      </w:pPr>
      <w:r w:rsidRPr="0026515E">
        <w:rPr>
          <w:rFonts w:ascii="Arial" w:hAnsi="Arial" w:cs="Arial"/>
          <w:sz w:val="22"/>
          <w:szCs w:val="22"/>
        </w:rPr>
        <w:t>Welfare facilities are a legal requirement, not a luxury.</w:t>
      </w:r>
    </w:p>
    <w:p w14:paraId="087FDD99" w14:textId="77777777" w:rsidR="0026515E" w:rsidRPr="0026515E" w:rsidRDefault="0026515E" w:rsidP="0026515E">
      <w:pPr>
        <w:numPr>
          <w:ilvl w:val="0"/>
          <w:numId w:val="19"/>
        </w:numPr>
        <w:spacing w:before="120"/>
        <w:rPr>
          <w:rFonts w:ascii="Arial" w:hAnsi="Arial" w:cs="Arial"/>
          <w:sz w:val="22"/>
          <w:szCs w:val="22"/>
        </w:rPr>
      </w:pPr>
      <w:r w:rsidRPr="0026515E">
        <w:rPr>
          <w:rFonts w:ascii="Arial" w:hAnsi="Arial" w:cs="Arial"/>
          <w:sz w:val="22"/>
          <w:szCs w:val="22"/>
        </w:rPr>
        <w:t>They must be available from day one and maintained throughout the project.</w:t>
      </w:r>
    </w:p>
    <w:p w14:paraId="2C64DD3F" w14:textId="77777777" w:rsidR="0026515E" w:rsidRPr="0026515E" w:rsidRDefault="0026515E" w:rsidP="0026515E">
      <w:pPr>
        <w:numPr>
          <w:ilvl w:val="0"/>
          <w:numId w:val="19"/>
        </w:numPr>
        <w:spacing w:before="120"/>
        <w:rPr>
          <w:rFonts w:ascii="Arial" w:hAnsi="Arial" w:cs="Arial"/>
          <w:sz w:val="22"/>
          <w:szCs w:val="22"/>
        </w:rPr>
      </w:pPr>
      <w:r w:rsidRPr="0026515E">
        <w:rPr>
          <w:rFonts w:ascii="Arial" w:hAnsi="Arial" w:cs="Arial"/>
          <w:sz w:val="22"/>
          <w:szCs w:val="22"/>
        </w:rPr>
        <w:t>Everyone on site is responsible for using and respecting welfare facilities properly.</w:t>
      </w:r>
    </w:p>
    <w:p w14:paraId="7256E03F" w14:textId="77777777" w:rsidR="008819FB" w:rsidRPr="008856D3" w:rsidRDefault="002F37D5" w:rsidP="000F50C2">
      <w:pPr>
        <w:spacing w:before="120"/>
        <w:rPr>
          <w:rFonts w:ascii="Arial" w:hAnsi="Arial" w:cs="Arial"/>
          <w:sz w:val="22"/>
          <w:szCs w:val="22"/>
        </w:rPr>
      </w:pPr>
      <w:r>
        <w:rPr>
          <w:rFonts w:ascii="Arial" w:hAnsi="Arial" w:cs="Arial"/>
          <w:sz w:val="22"/>
          <w:szCs w:val="22"/>
        </w:rPr>
        <w:pict w14:anchorId="5E987E0D">
          <v:rect id="_x0000_i1034" style="width:0;height:1.5pt" o:hralign="center" o:hrstd="t" o:hr="t" fillcolor="#a0a0a0" stroked="f"/>
        </w:pict>
      </w:r>
    </w:p>
    <w:p w14:paraId="09E5C926"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Closing Summary</w:t>
      </w:r>
    </w:p>
    <w:p w14:paraId="516A1D93" w14:textId="77777777" w:rsidR="0026515E" w:rsidRPr="0026515E" w:rsidRDefault="0026515E" w:rsidP="0026515E">
      <w:pPr>
        <w:spacing w:before="120"/>
        <w:rPr>
          <w:rFonts w:ascii="Arial" w:hAnsi="Arial" w:cs="Arial"/>
          <w:sz w:val="22"/>
          <w:szCs w:val="22"/>
        </w:rPr>
      </w:pPr>
      <w:r w:rsidRPr="0026515E">
        <w:rPr>
          <w:rFonts w:ascii="Arial" w:hAnsi="Arial" w:cs="Arial"/>
          <w:sz w:val="22"/>
          <w:szCs w:val="22"/>
        </w:rPr>
        <w:t xml:space="preserve">Good welfare provision is essential for health, dignity, and productivity on construction sites. Facilities must be kept clean, stocked, and fully operational </w:t>
      </w:r>
      <w:proofErr w:type="gramStart"/>
      <w:r w:rsidRPr="0026515E">
        <w:rPr>
          <w:rFonts w:ascii="Arial" w:hAnsi="Arial" w:cs="Arial"/>
          <w:sz w:val="22"/>
          <w:szCs w:val="22"/>
        </w:rPr>
        <w:t>at all times</w:t>
      </w:r>
      <w:proofErr w:type="gramEnd"/>
      <w:r w:rsidRPr="0026515E">
        <w:rPr>
          <w:rFonts w:ascii="Arial" w:hAnsi="Arial" w:cs="Arial"/>
          <w:sz w:val="22"/>
          <w:szCs w:val="22"/>
        </w:rPr>
        <w:t>. By reporting issues promptly and using welfare areas correctly, everyone helps maintain a safe, compliant, and respectful working environment.</w:t>
      </w:r>
      <w:r w:rsidRPr="0026515E">
        <w:rPr>
          <w:rFonts w:ascii="Arial" w:hAnsi="Arial" w:cs="Arial"/>
          <w:sz w:val="22"/>
          <w:szCs w:val="22"/>
        </w:rPr>
        <w:br/>
      </w:r>
    </w:p>
    <w:p w14:paraId="4F627ECF" w14:textId="77777777" w:rsidR="004A57A7" w:rsidRPr="0051019B" w:rsidRDefault="004A57A7" w:rsidP="000F50C2">
      <w:pPr>
        <w:spacing w:before="120"/>
        <w:rPr>
          <w:rFonts w:ascii="Arial" w:hAnsi="Arial" w:cs="Arial"/>
          <w:sz w:val="22"/>
          <w:szCs w:val="22"/>
        </w:rPr>
      </w:pPr>
    </w:p>
    <w:sectPr w:rsidR="004A57A7" w:rsidRPr="0051019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E71E" w14:textId="77777777" w:rsidR="0026515E" w:rsidRPr="008856D3" w:rsidRDefault="0026515E" w:rsidP="006D5CB9">
      <w:pPr>
        <w:spacing w:after="0" w:line="240" w:lineRule="auto"/>
      </w:pPr>
      <w:r w:rsidRPr="008856D3">
        <w:separator/>
      </w:r>
    </w:p>
  </w:endnote>
  <w:endnote w:type="continuationSeparator" w:id="0">
    <w:p w14:paraId="050C096B" w14:textId="77777777" w:rsidR="0026515E" w:rsidRPr="008856D3" w:rsidRDefault="0026515E"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58DD"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02A6AEBB" wp14:editId="4F89F122">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35C19DB0"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6AEBB"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35C19DB0"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79F47DD7" wp14:editId="338CA5CE">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9337" w14:textId="77777777" w:rsidR="0026515E" w:rsidRPr="008856D3" w:rsidRDefault="0026515E" w:rsidP="006D5CB9">
      <w:pPr>
        <w:spacing w:after="0" w:line="240" w:lineRule="auto"/>
      </w:pPr>
      <w:r w:rsidRPr="008856D3">
        <w:separator/>
      </w:r>
    </w:p>
  </w:footnote>
  <w:footnote w:type="continuationSeparator" w:id="0">
    <w:p w14:paraId="4AB4C358" w14:textId="77777777" w:rsidR="0026515E" w:rsidRPr="008856D3" w:rsidRDefault="0026515E"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248F"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41E35440" wp14:editId="4923EF78">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809CC"/>
    <w:multiLevelType w:val="multilevel"/>
    <w:tmpl w:val="F3FE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955AD"/>
    <w:multiLevelType w:val="multilevel"/>
    <w:tmpl w:val="09F6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04BCF"/>
    <w:multiLevelType w:val="multilevel"/>
    <w:tmpl w:val="0A42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B3A9D"/>
    <w:multiLevelType w:val="multilevel"/>
    <w:tmpl w:val="C52A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C23F0A"/>
    <w:multiLevelType w:val="multilevel"/>
    <w:tmpl w:val="4A0C2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261312"/>
    <w:multiLevelType w:val="multilevel"/>
    <w:tmpl w:val="8D9E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3799F"/>
    <w:multiLevelType w:val="multilevel"/>
    <w:tmpl w:val="36D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057318">
    <w:abstractNumId w:val="11"/>
  </w:num>
  <w:num w:numId="2" w16cid:durableId="1374498995">
    <w:abstractNumId w:val="8"/>
  </w:num>
  <w:num w:numId="3" w16cid:durableId="1693651878">
    <w:abstractNumId w:val="1"/>
  </w:num>
  <w:num w:numId="4" w16cid:durableId="1926182651">
    <w:abstractNumId w:val="17"/>
  </w:num>
  <w:num w:numId="5" w16cid:durableId="298343097">
    <w:abstractNumId w:val="0"/>
  </w:num>
  <w:num w:numId="6" w16cid:durableId="143934075">
    <w:abstractNumId w:val="5"/>
  </w:num>
  <w:num w:numId="7" w16cid:durableId="1339313498">
    <w:abstractNumId w:val="3"/>
  </w:num>
  <w:num w:numId="8" w16cid:durableId="93936955">
    <w:abstractNumId w:val="10"/>
  </w:num>
  <w:num w:numId="9" w16cid:durableId="425158192">
    <w:abstractNumId w:val="18"/>
  </w:num>
  <w:num w:numId="10" w16cid:durableId="1767529873">
    <w:abstractNumId w:val="4"/>
  </w:num>
  <w:num w:numId="11" w16cid:durableId="1267229358">
    <w:abstractNumId w:val="15"/>
  </w:num>
  <w:num w:numId="12" w16cid:durableId="2142722020">
    <w:abstractNumId w:val="16"/>
  </w:num>
  <w:num w:numId="13" w16cid:durableId="382869546">
    <w:abstractNumId w:val="14"/>
  </w:num>
  <w:num w:numId="14" w16cid:durableId="1782800095">
    <w:abstractNumId w:val="7"/>
  </w:num>
  <w:num w:numId="15" w16cid:durableId="281346337">
    <w:abstractNumId w:val="2"/>
  </w:num>
  <w:num w:numId="16" w16cid:durableId="1903297724">
    <w:abstractNumId w:val="9"/>
  </w:num>
  <w:num w:numId="17" w16cid:durableId="379987113">
    <w:abstractNumId w:val="6"/>
  </w:num>
  <w:num w:numId="18" w16cid:durableId="767239581">
    <w:abstractNumId w:val="13"/>
  </w:num>
  <w:num w:numId="19" w16cid:durableId="1035353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0NzA2NzAzsDSzMDZQ0lEKTi0uzszPAykwrAUAB57FnywAAAA="/>
  </w:docVars>
  <w:rsids>
    <w:rsidRoot w:val="0026515E"/>
    <w:rsid w:val="000F50C2"/>
    <w:rsid w:val="00125197"/>
    <w:rsid w:val="00161DFE"/>
    <w:rsid w:val="001F1079"/>
    <w:rsid w:val="00215998"/>
    <w:rsid w:val="0026515E"/>
    <w:rsid w:val="002C1396"/>
    <w:rsid w:val="002D1E03"/>
    <w:rsid w:val="002F37D5"/>
    <w:rsid w:val="003C063A"/>
    <w:rsid w:val="003E6765"/>
    <w:rsid w:val="00410E61"/>
    <w:rsid w:val="00476AE5"/>
    <w:rsid w:val="004A57A7"/>
    <w:rsid w:val="0051019B"/>
    <w:rsid w:val="005B7091"/>
    <w:rsid w:val="006B43F8"/>
    <w:rsid w:val="006D5CB9"/>
    <w:rsid w:val="00754494"/>
    <w:rsid w:val="007909E1"/>
    <w:rsid w:val="00790F28"/>
    <w:rsid w:val="007B1EDF"/>
    <w:rsid w:val="00851A33"/>
    <w:rsid w:val="008819FB"/>
    <w:rsid w:val="008850AA"/>
    <w:rsid w:val="008856D3"/>
    <w:rsid w:val="00993CF2"/>
    <w:rsid w:val="009C64F2"/>
    <w:rsid w:val="00A06381"/>
    <w:rsid w:val="00C77902"/>
    <w:rsid w:val="00D07FE1"/>
    <w:rsid w:val="00D260C4"/>
    <w:rsid w:val="00DC7A1B"/>
    <w:rsid w:val="00E000AB"/>
    <w:rsid w:val="00F12483"/>
    <w:rsid w:val="00F47B47"/>
    <w:rsid w:val="00F8710E"/>
    <w:rsid w:val="00F9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E4DD4E6"/>
  <w15:chartTrackingRefBased/>
  <w15:docId w15:val="{29378D87-A2BB-4B43-9A4F-AE67C1E1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 w:type="paragraph" w:styleId="NormalWeb">
    <w:name w:val="Normal (Web)"/>
    <w:basedOn w:val="Normal"/>
    <w:uiPriority w:val="99"/>
    <w:semiHidden/>
    <w:unhideWhenUsed/>
    <w:rsid w:val="002651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OneDrive%20-%20adminharmony.co.uk\Admin%20Harmony\Clients\THSP\Marketing\Toolbox%20Talks\~THSP's%20Toolbox%20Talk%20Emp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Template>
  <TotalTime>3</TotalTime>
  <Pages>2</Pages>
  <Words>503</Words>
  <Characters>2541</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Coventry</dc:creator>
  <cp:keywords/>
  <dc:description/>
  <cp:lastModifiedBy>Lauren Coventry</cp:lastModifiedBy>
  <cp:revision>2</cp:revision>
  <cp:lastPrinted>2025-01-23T14:15:00Z</cp:lastPrinted>
  <dcterms:created xsi:type="dcterms:W3CDTF">2026-01-07T11:00:00Z</dcterms:created>
  <dcterms:modified xsi:type="dcterms:W3CDTF">2026-01-07T11:04:00Z</dcterms:modified>
</cp:coreProperties>
</file>