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9EAD1" w14:textId="77777777" w:rsidR="00FA0B64" w:rsidRPr="00FA0B64" w:rsidRDefault="00FA0B64" w:rsidP="00FA0B64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2"/>
          <w:szCs w:val="22"/>
          <w:lang w:eastAsia="en-GB"/>
          <w14:ligatures w14:val="none"/>
        </w:rPr>
      </w:pPr>
      <w:r w:rsidRPr="00FA0B64">
        <w:rPr>
          <w:rFonts w:ascii="Arial" w:eastAsia="Times New Roman" w:hAnsi="Arial" w:cs="Arial"/>
          <w:b/>
          <w:bCs/>
          <w:kern w:val="36"/>
          <w:sz w:val="22"/>
          <w:szCs w:val="22"/>
          <w:lang w:eastAsia="en-GB"/>
          <w14:ligatures w14:val="none"/>
        </w:rPr>
        <w:t>Toolbox Talk Template: Managing Absence</w:t>
      </w:r>
    </w:p>
    <w:p w14:paraId="7F224357" w14:textId="77777777" w:rsidR="00FA0B64" w:rsidRPr="00FA0B64" w:rsidRDefault="00FA0B64" w:rsidP="00FA0B64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A0B6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pict w14:anchorId="6F999432">
          <v:rect id="_x0000_i1035" style="width:0;height:1.5pt" o:hralign="center" o:hrstd="t" o:hr="t" fillcolor="#a0a0a0" stroked="f"/>
        </w:pict>
      </w:r>
    </w:p>
    <w:p w14:paraId="607E64A1" w14:textId="71BBF596" w:rsidR="00FA0B64" w:rsidRPr="00FA0B64" w:rsidRDefault="00FA0B64" w:rsidP="00FA0B6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FA0B64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 xml:space="preserve">Title: </w:t>
      </w:r>
      <w:r w:rsidR="00C92CF9" w:rsidRPr="00C92CF9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Managing Absence Fairly and Effectively</w:t>
      </w:r>
    </w:p>
    <w:p w14:paraId="6BE7506C" w14:textId="77777777" w:rsidR="00FA0B64" w:rsidRPr="00FA0B64" w:rsidRDefault="00FA0B64" w:rsidP="00FA0B64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A0B6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pict w14:anchorId="71D72777">
          <v:rect id="_x0000_i1036" style="width:0;height:1.5pt" o:hralign="center" o:hrstd="t" o:hr="t" fillcolor="#a0a0a0" stroked="f"/>
        </w:pict>
      </w:r>
    </w:p>
    <w:p w14:paraId="24053A92" w14:textId="77777777" w:rsidR="00FA0B64" w:rsidRPr="00FA0B64" w:rsidRDefault="00FA0B64" w:rsidP="00FA0B6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FA0B64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Introduction:</w:t>
      </w:r>
    </w:p>
    <w:p w14:paraId="77A4A5EA" w14:textId="77777777" w:rsidR="00FA0B64" w:rsidRPr="00FA0B64" w:rsidRDefault="00FA0B64" w:rsidP="00FA0B6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A0B64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Presenter Name and Role:</w:t>
      </w:r>
    </w:p>
    <w:p w14:paraId="027DE8AA" w14:textId="77777777" w:rsidR="00FA0B64" w:rsidRPr="00FA0B64" w:rsidRDefault="00FA0B64" w:rsidP="00FA0B64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A0B6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pict w14:anchorId="6611F03F">
          <v:rect id="_x0000_i1037" style="width:0;height:1.5pt" o:hralign="center" o:hrstd="t" o:hr="t" fillcolor="#a0a0a0" stroked="f"/>
        </w:pict>
      </w:r>
    </w:p>
    <w:p w14:paraId="33536F8A" w14:textId="77777777" w:rsidR="00FA0B64" w:rsidRPr="00FA0B64" w:rsidRDefault="00FA0B64" w:rsidP="00FA0B6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FA0B64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Purpose of Today’s Toolbox Talk:</w:t>
      </w:r>
    </w:p>
    <w:p w14:paraId="22EADA4D" w14:textId="77777777" w:rsidR="00FA0B64" w:rsidRPr="00FA0B64" w:rsidRDefault="00FA0B64" w:rsidP="00FA0B6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A0B6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In today’s 10-minute session, we’ll cover:</w:t>
      </w:r>
    </w:p>
    <w:p w14:paraId="26C58C4C" w14:textId="77777777" w:rsidR="00FA0B64" w:rsidRPr="00FA0B64" w:rsidRDefault="00FA0B64" w:rsidP="00FA0B6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A0B6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The importance of fairness and equality in managing absence.</w:t>
      </w:r>
    </w:p>
    <w:p w14:paraId="03A40EAA" w14:textId="77777777" w:rsidR="00FA0B64" w:rsidRPr="00FA0B64" w:rsidRDefault="00FA0B64" w:rsidP="00FA0B6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A0B6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Steps for managing sickness absence effectively.</w:t>
      </w:r>
    </w:p>
    <w:p w14:paraId="47D33512" w14:textId="77777777" w:rsidR="00FA0B64" w:rsidRPr="00FA0B64" w:rsidRDefault="00FA0B64" w:rsidP="00FA0B6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A0B6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When capability needs to be considered.</w:t>
      </w:r>
    </w:p>
    <w:p w14:paraId="0CA7DEEA" w14:textId="77777777" w:rsidR="00FA0B64" w:rsidRPr="00FA0B64" w:rsidRDefault="00FA0B64" w:rsidP="00FA0B6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A0B6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Legal considerations around absence management.</w:t>
      </w:r>
    </w:p>
    <w:p w14:paraId="1F1F75A6" w14:textId="77777777" w:rsidR="00FA0B64" w:rsidRPr="00FA0B64" w:rsidRDefault="00FA0B64" w:rsidP="00FA0B6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A0B6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Key practices for supporting employees and maintaining business performance.</w:t>
      </w:r>
    </w:p>
    <w:p w14:paraId="14F13574" w14:textId="77777777" w:rsidR="00FA0B64" w:rsidRPr="00FA0B64" w:rsidRDefault="00FA0B64" w:rsidP="00FA0B64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A0B6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pict w14:anchorId="593A9001">
          <v:rect id="_x0000_i1038" style="width:0;height:1.5pt" o:hralign="center" o:hrstd="t" o:hr="t" fillcolor="#a0a0a0" stroked="f"/>
        </w:pict>
      </w:r>
    </w:p>
    <w:p w14:paraId="049C55F2" w14:textId="77777777" w:rsidR="00FA0B64" w:rsidRPr="00FA0B64" w:rsidRDefault="00FA0B64" w:rsidP="00FA0B6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FA0B64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Key Content:</w:t>
      </w:r>
    </w:p>
    <w:p w14:paraId="7C99DE3B" w14:textId="77777777" w:rsidR="00FA0B64" w:rsidRPr="00FA0B64" w:rsidRDefault="00FA0B64" w:rsidP="00FA0B64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FA0B64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1. Why This Matters:</w:t>
      </w:r>
    </w:p>
    <w:p w14:paraId="35EF7BEA" w14:textId="77777777" w:rsidR="00FA0B64" w:rsidRPr="00FA0B64" w:rsidRDefault="00FA0B64" w:rsidP="00FA0B6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A0B6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Protects employee wellbeing while maintaining business operations.</w:t>
      </w:r>
    </w:p>
    <w:p w14:paraId="3F718ADD" w14:textId="77777777" w:rsidR="00FA0B64" w:rsidRPr="00FA0B64" w:rsidRDefault="00FA0B64" w:rsidP="00FA0B6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A0B6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Ensures fair and legal processes under the Equality Act 2010 and Employment Rights Act 1996.</w:t>
      </w:r>
    </w:p>
    <w:p w14:paraId="01E90560" w14:textId="77777777" w:rsidR="00FA0B64" w:rsidRPr="00FA0B64" w:rsidRDefault="00FA0B64" w:rsidP="00FA0B6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A0B6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Helps prevent long-term absence through early intervention and support.</w:t>
      </w:r>
    </w:p>
    <w:p w14:paraId="637FD31E" w14:textId="77777777" w:rsidR="00FA0B64" w:rsidRPr="00FA0B64" w:rsidRDefault="00FA0B64" w:rsidP="00FA0B6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A0B6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Reduces business costs by minimising disruption and ensuring smooth workforce planning.</w:t>
      </w:r>
    </w:p>
    <w:p w14:paraId="39D31C4A" w14:textId="77777777" w:rsidR="00FA0B64" w:rsidRPr="00FA0B64" w:rsidRDefault="00FA0B64" w:rsidP="00FA0B64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FA0B64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2. Steps for Managing Sickness Absence:</w:t>
      </w:r>
    </w:p>
    <w:p w14:paraId="72F10D0F" w14:textId="77777777" w:rsidR="00FA0B64" w:rsidRPr="00FA0B64" w:rsidRDefault="00FA0B64" w:rsidP="00FA0B6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A0B64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Reporting Absence</w:t>
      </w:r>
    </w:p>
    <w:p w14:paraId="248EF1E9" w14:textId="77777777" w:rsidR="00FA0B64" w:rsidRPr="00FA0B64" w:rsidRDefault="00FA0B64" w:rsidP="00FA0B6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A0B6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Employees must inform their manager as soon as possible when unwell.</w:t>
      </w:r>
    </w:p>
    <w:p w14:paraId="1AE33C0F" w14:textId="77777777" w:rsidR="00FA0B64" w:rsidRPr="00FA0B64" w:rsidRDefault="00FA0B64" w:rsidP="00FA0B6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A0B6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A self-certification form is required for absences up to 7 days.</w:t>
      </w:r>
    </w:p>
    <w:p w14:paraId="1A83B8B5" w14:textId="77777777" w:rsidR="00FA0B64" w:rsidRPr="00FA0B64" w:rsidRDefault="00FA0B64" w:rsidP="00FA0B6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A0B6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A Fit Note (Doctor’s Note) is required for absences longer than 7 days.</w:t>
      </w:r>
    </w:p>
    <w:p w14:paraId="4A51C681" w14:textId="77777777" w:rsidR="00FA0B64" w:rsidRPr="00FA0B64" w:rsidRDefault="00FA0B64" w:rsidP="00FA0B6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A0B64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Supporting Employees During Absence</w:t>
      </w:r>
    </w:p>
    <w:p w14:paraId="3E391908" w14:textId="77777777" w:rsidR="00FA0B64" w:rsidRPr="00FA0B64" w:rsidRDefault="00FA0B64" w:rsidP="00FA0B6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A0B6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Maintain regular contact in a supportive, non-intrusive way.</w:t>
      </w:r>
    </w:p>
    <w:p w14:paraId="2F821D67" w14:textId="77777777" w:rsidR="00FA0B64" w:rsidRPr="00FA0B64" w:rsidRDefault="00FA0B64" w:rsidP="00FA0B6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A0B6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Offer Occupational Health / EAP referrals if necessary.</w:t>
      </w:r>
    </w:p>
    <w:p w14:paraId="2DAEB590" w14:textId="77777777" w:rsidR="00FA0B64" w:rsidRPr="00FA0B64" w:rsidRDefault="00FA0B64" w:rsidP="00FA0B6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A0B6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Consider reasonable adjustments, such as flexible working or phased returns.</w:t>
      </w:r>
    </w:p>
    <w:p w14:paraId="2278112F" w14:textId="77777777" w:rsidR="00FA0B64" w:rsidRPr="00FA0B64" w:rsidRDefault="00FA0B64" w:rsidP="00FA0B6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A0B64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Return to Work Process</w:t>
      </w:r>
    </w:p>
    <w:p w14:paraId="7337F091" w14:textId="77777777" w:rsidR="00FA0B64" w:rsidRPr="00FA0B64" w:rsidRDefault="00FA0B64" w:rsidP="00FA0B6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A0B6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lastRenderedPageBreak/>
        <w:t>Hold a Return-to-Work Meeting to discuss health, work adjustments, and support needed.</w:t>
      </w:r>
    </w:p>
    <w:p w14:paraId="4414E93B" w14:textId="77777777" w:rsidR="00FA0B64" w:rsidRPr="00FA0B64" w:rsidRDefault="00FA0B64" w:rsidP="00FA0B6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A0B6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If absence is long-term, consider a phased return or alternative duties.</w:t>
      </w:r>
    </w:p>
    <w:p w14:paraId="71444E54" w14:textId="77777777" w:rsidR="00FA0B64" w:rsidRPr="00FA0B64" w:rsidRDefault="00FA0B64" w:rsidP="00FA0B6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A0B6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If the employee can no longer fulfil their role due to illness, a capability assessment may be necessary.</w:t>
      </w:r>
    </w:p>
    <w:p w14:paraId="647DDACF" w14:textId="77777777" w:rsidR="00FA0B64" w:rsidRPr="00FA0B64" w:rsidRDefault="00FA0B64" w:rsidP="00FA0B6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A0B6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Maintain contact and engagement. A Personal Development Plan or Performance Improvement Plan, depending upon the reasons for absence, are good informal tools to consider.</w:t>
      </w:r>
    </w:p>
    <w:p w14:paraId="4B401F6D" w14:textId="77777777" w:rsidR="00FA0B64" w:rsidRPr="00FA0B64" w:rsidRDefault="00FA0B64" w:rsidP="00FA0B6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A0B6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MED3 certificates are advisory. Employees may request an early return. Assess the condition against the role. In some cases, revert them back to their GP or OH.</w:t>
      </w:r>
    </w:p>
    <w:p w14:paraId="76026579" w14:textId="77777777" w:rsidR="00FA0B64" w:rsidRPr="00FA0B64" w:rsidRDefault="00FA0B64" w:rsidP="00FA0B64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FA0B64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3. When Capability Needs to Be Considered:</w:t>
      </w:r>
    </w:p>
    <w:p w14:paraId="54FBBABB" w14:textId="77777777" w:rsidR="00FA0B64" w:rsidRPr="00FA0B64" w:rsidRDefault="00FA0B64" w:rsidP="00FA0B6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A0B6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Capability procedures apply when an employee cannot perform their role due to illness, injury, or health conditions.</w:t>
      </w:r>
    </w:p>
    <w:p w14:paraId="583787CD" w14:textId="77777777" w:rsidR="00FA0B64" w:rsidRPr="00FA0B64" w:rsidRDefault="00FA0B64" w:rsidP="00FA0B6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A0B6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Reasonable adjustments should be explored before considering dismissal.</w:t>
      </w:r>
    </w:p>
    <w:p w14:paraId="6561A494" w14:textId="77777777" w:rsidR="00FA0B64" w:rsidRPr="00FA0B64" w:rsidRDefault="00FA0B64" w:rsidP="00FA0B6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A0B6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Medical evidence (e.g., Occupational Health reports) is essential before making decisions.</w:t>
      </w:r>
    </w:p>
    <w:p w14:paraId="6DF3AB30" w14:textId="77777777" w:rsidR="00FA0B64" w:rsidRPr="00FA0B64" w:rsidRDefault="00FA0B64" w:rsidP="00FA0B6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A0B6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If the employee cannot return to their role after all options are considered, capability dismissal may be an option as a last resort, following a fair procedure.</w:t>
      </w:r>
    </w:p>
    <w:p w14:paraId="37FB4015" w14:textId="77777777" w:rsidR="00FA0B64" w:rsidRPr="00FA0B64" w:rsidRDefault="00FA0B64" w:rsidP="00FA0B64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FA0B64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4. Legal Considerations:</w:t>
      </w:r>
    </w:p>
    <w:p w14:paraId="3CD631FB" w14:textId="77777777" w:rsidR="00FA0B64" w:rsidRPr="00FA0B64" w:rsidRDefault="00FA0B64" w:rsidP="00FA0B6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A0B64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The Equality Act 2010</w:t>
      </w:r>
      <w:r w:rsidRPr="00FA0B6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: Protects employees with long-term health conditions from discrimination. This includes discrimination by association, where an employee may be unduly disciplined for caring for a dependent.</w:t>
      </w:r>
    </w:p>
    <w:p w14:paraId="0048478C" w14:textId="77777777" w:rsidR="00FA0B64" w:rsidRPr="00FA0B64" w:rsidRDefault="00FA0B64" w:rsidP="00FA0B6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A0B64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Unfair Dismissal Protection</w:t>
      </w:r>
      <w:r w:rsidRPr="00FA0B6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: Employees must be fairly consulted and given reasonable time to recover.</w:t>
      </w:r>
    </w:p>
    <w:p w14:paraId="6FED85C5" w14:textId="77777777" w:rsidR="00FA0B64" w:rsidRPr="00FA0B64" w:rsidRDefault="00FA0B64" w:rsidP="00FA0B6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A0B64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Health and Safety Compliance</w:t>
      </w:r>
      <w:r w:rsidRPr="00FA0B6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: Employers must provide a safe and healthy work environment.</w:t>
      </w:r>
    </w:p>
    <w:p w14:paraId="0631D474" w14:textId="77777777" w:rsidR="00FA0B64" w:rsidRPr="00FA0B64" w:rsidRDefault="00FA0B64" w:rsidP="00FA0B64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FA0B64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5. Key Practices for Supporting Employees and Maintaining Business Performance:</w:t>
      </w:r>
    </w:p>
    <w:p w14:paraId="1A0059FB" w14:textId="77777777" w:rsidR="00FA0B64" w:rsidRDefault="00FA0B64" w:rsidP="00FA0B64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A0B64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Be supportive</w:t>
      </w:r>
      <w:r w:rsidRPr="00FA0B6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– Sickness absence is often beyond an employee’s control.</w:t>
      </w:r>
    </w:p>
    <w:p w14:paraId="55720722" w14:textId="77777777" w:rsidR="00FA0B64" w:rsidRDefault="00FA0B64" w:rsidP="00FA0B64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A0B64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Work-related stress</w:t>
      </w:r>
      <w:r w:rsidRPr="00FA0B6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– Be proactive; WRS is acute and needs to be addressed to enable the return to work.</w:t>
      </w:r>
    </w:p>
    <w:p w14:paraId="46381194" w14:textId="77777777" w:rsidR="00FA0B64" w:rsidRDefault="00FA0B64" w:rsidP="00FA0B64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A0B64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Follow company procedures</w:t>
      </w:r>
      <w:r w:rsidRPr="00FA0B6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– Ensure clear reporting and return-to-work processes. Work with absence triggers for consistency.</w:t>
      </w:r>
    </w:p>
    <w:p w14:paraId="71A0B62C" w14:textId="77777777" w:rsidR="00FA0B64" w:rsidRDefault="00FA0B64" w:rsidP="00FA0B64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A0B64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Wellness Action Plans</w:t>
      </w:r>
      <w:r w:rsidRPr="00FA0B6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– Beneficial for anyone with fluctuating mental health, as they open discussions about norms and impacts to be avoided, causing absence. Offer to all.</w:t>
      </w:r>
    </w:p>
    <w:p w14:paraId="6AE709C6" w14:textId="77777777" w:rsidR="00FA0B64" w:rsidRDefault="00FA0B64" w:rsidP="00FA0B64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A0B64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Consider adjustments</w:t>
      </w:r>
      <w:r w:rsidRPr="00FA0B6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– Where possible, help employees return to work.</w:t>
      </w:r>
    </w:p>
    <w:p w14:paraId="18C5692B" w14:textId="77777777" w:rsidR="00FA0B64" w:rsidRDefault="00FA0B64" w:rsidP="00FA0B64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A0B64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Partner with support networks</w:t>
      </w:r>
      <w:r w:rsidRPr="00FA0B6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– Such as Mind, Macmillan, Lighthouse, as they have great resources to support people back into work.</w:t>
      </w:r>
    </w:p>
    <w:p w14:paraId="40B007A2" w14:textId="6F9DEE21" w:rsidR="00FA0B64" w:rsidRPr="00FA0B64" w:rsidRDefault="00FA0B64" w:rsidP="00FA0B64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A0B64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Act fairly &amp; legally</w:t>
      </w:r>
      <w:r w:rsidRPr="00FA0B6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– Ensure compliance with employment laws and avoid discrimination.</w:t>
      </w:r>
    </w:p>
    <w:p w14:paraId="3C21B31C" w14:textId="77777777" w:rsidR="00FA0B64" w:rsidRPr="00FA0B64" w:rsidRDefault="00FA0B64" w:rsidP="00FA0B64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A0B6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pict w14:anchorId="36B35E84">
          <v:rect id="_x0000_i1039" style="width:0;height:1.5pt" o:hralign="center" o:hrstd="t" o:hr="t" fillcolor="#a0a0a0" stroked="f"/>
        </w:pict>
      </w:r>
    </w:p>
    <w:p w14:paraId="64467800" w14:textId="77777777" w:rsidR="00FA0B64" w:rsidRDefault="00FA0B64">
      <w:pPr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br w:type="page"/>
      </w:r>
    </w:p>
    <w:p w14:paraId="73E10A2B" w14:textId="23C55479" w:rsidR="00FA0B64" w:rsidRPr="00FA0B64" w:rsidRDefault="00FA0B64" w:rsidP="00FA0B6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FA0B64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lastRenderedPageBreak/>
        <w:t>3 Key Takeaways:</w:t>
      </w:r>
    </w:p>
    <w:p w14:paraId="1B4FFB06" w14:textId="77777777" w:rsidR="00FA0B64" w:rsidRPr="00FA0B64" w:rsidRDefault="00FA0B64" w:rsidP="00FA0B6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A0B64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Fair and Consistent Management</w:t>
      </w:r>
      <w:r w:rsidRPr="00FA0B6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: Managing absence should be handled fairly, with clear procedures that support employees while maintaining business efficiency.</w:t>
      </w:r>
    </w:p>
    <w:p w14:paraId="665DE221" w14:textId="77777777" w:rsidR="00FA0B64" w:rsidRPr="00FA0B64" w:rsidRDefault="00FA0B64" w:rsidP="00FA0B6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A0B64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Early Intervention is Key</w:t>
      </w:r>
      <w:r w:rsidRPr="00FA0B6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: Regular communication, support measures, and wellness strategies help prevent long-term absence.</w:t>
      </w:r>
    </w:p>
    <w:p w14:paraId="3AB8FABC" w14:textId="77777777" w:rsidR="00FA0B64" w:rsidRPr="00FA0B64" w:rsidRDefault="00FA0B64" w:rsidP="00FA0B6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A0B64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Legal and Compliance Awareness</w:t>
      </w:r>
      <w:r w:rsidRPr="00FA0B6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: Following employment law ensures both employee rights and business interests are protected.</w:t>
      </w:r>
    </w:p>
    <w:p w14:paraId="6577C39B" w14:textId="77777777" w:rsidR="00FA0B64" w:rsidRPr="00FA0B64" w:rsidRDefault="00FA0B64" w:rsidP="00FA0B64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A0B6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pict w14:anchorId="1A3DB3DD">
          <v:rect id="_x0000_i1040" style="width:0;height:1.5pt" o:hralign="center" o:hrstd="t" o:hr="t" fillcolor="#a0a0a0" stroked="f"/>
        </w:pict>
      </w:r>
    </w:p>
    <w:p w14:paraId="3E97EBD3" w14:textId="77777777" w:rsidR="00FA0B64" w:rsidRPr="00FA0B64" w:rsidRDefault="00FA0B64" w:rsidP="00FA0B6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FA0B64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Closing Summary:</w:t>
      </w:r>
    </w:p>
    <w:p w14:paraId="653EC150" w14:textId="77777777" w:rsidR="00FA0B64" w:rsidRPr="00FA0B64" w:rsidRDefault="00FA0B64" w:rsidP="00FA0B6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A0B6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Managing absence effectively is a balance between supporting employees and maintaining operational needs. By following fair procedures, offering reasonable adjustments, and complying with legal requirements, businesses can create a supportive environment that minimises absenteeism and enhances productivity.</w:t>
      </w:r>
    </w:p>
    <w:p w14:paraId="4356975D" w14:textId="684ED617" w:rsidR="004A57A7" w:rsidRPr="00FA0B64" w:rsidRDefault="00FA0B64" w:rsidP="00FA0B6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A0B6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If you have any questions or need advice, contact the </w:t>
      </w:r>
      <w:r w:rsidRPr="00FA0B64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THSP HR and Employment Law Team on 03456 122 144.</w:t>
      </w:r>
    </w:p>
    <w:sectPr w:rsidR="004A57A7" w:rsidRPr="00FA0B64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E9802" w14:textId="77777777" w:rsidR="00FA0B64" w:rsidRPr="008856D3" w:rsidRDefault="00FA0B64" w:rsidP="006D5CB9">
      <w:pPr>
        <w:spacing w:after="0" w:line="240" w:lineRule="auto"/>
      </w:pPr>
      <w:r w:rsidRPr="008856D3">
        <w:separator/>
      </w:r>
    </w:p>
  </w:endnote>
  <w:endnote w:type="continuationSeparator" w:id="0">
    <w:p w14:paraId="165E9121" w14:textId="77777777" w:rsidR="00FA0B64" w:rsidRPr="008856D3" w:rsidRDefault="00FA0B64" w:rsidP="006D5CB9">
      <w:pPr>
        <w:spacing w:after="0" w:line="240" w:lineRule="auto"/>
      </w:pPr>
      <w:r w:rsidRPr="008856D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3C983" w14:textId="77777777" w:rsidR="006D5CB9" w:rsidRPr="008856D3" w:rsidRDefault="0051019B" w:rsidP="00C77902">
    <w:pPr>
      <w:pStyle w:val="Footer"/>
      <w:tabs>
        <w:tab w:val="clear" w:pos="9026"/>
      </w:tabs>
    </w:pPr>
    <w:r w:rsidRPr="008856D3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7FFCBA1" wp14:editId="6B33C3AA">
              <wp:simplePos x="0" y="0"/>
              <wp:positionH relativeFrom="margin">
                <wp:align>right</wp:align>
              </wp:positionH>
              <wp:positionV relativeFrom="margin">
                <wp:posOffset>9376634</wp:posOffset>
              </wp:positionV>
              <wp:extent cx="5734050" cy="2857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0" cy="285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58B639" w14:textId="77777777" w:rsidR="0051019B" w:rsidRPr="008856D3" w:rsidRDefault="0051019B" w:rsidP="0051019B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8856D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More free resources at </w:t>
                          </w:r>
                          <w:hyperlink r:id="rId1" w:history="1">
                            <w:r w:rsidRPr="008856D3">
                              <w:rPr>
                                <w:rStyle w:val="Hyperlink"/>
                                <w:rFonts w:ascii="Arial" w:hAnsi="Arial" w:cs="Arial"/>
                                <w:sz w:val="20"/>
                                <w:szCs w:val="20"/>
                              </w:rPr>
                              <w:t>thsp.co.uk/knowledge-hub/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FFCBA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0.3pt;margin-top:738.3pt;width:451.5pt;height:22.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" filled="f" stroked="f">
              <v:textbox>
                <w:txbxContent>
                  <w:p w14:paraId="4E58B639" w14:textId="77777777" w:rsidR="0051019B" w:rsidRPr="008856D3" w:rsidRDefault="0051019B" w:rsidP="0051019B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856D3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More free resources at </w:t>
                    </w:r>
                    <w:hyperlink r:id="rId2" w:history="1">
                      <w:r w:rsidRPr="008856D3">
                        <w:rPr>
                          <w:rStyle w:val="Hyperlink"/>
                          <w:rFonts w:ascii="Arial" w:hAnsi="Arial" w:cs="Arial"/>
                          <w:sz w:val="20"/>
                          <w:szCs w:val="20"/>
                        </w:rPr>
                        <w:t>thsp.co.uk/knowledge-hub/</w:t>
                      </w:r>
                    </w:hyperlink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Pr="008856D3">
      <w:rPr>
        <w:noProof/>
      </w:rPr>
      <w:drawing>
        <wp:anchor distT="0" distB="0" distL="114300" distR="114300" simplePos="0" relativeHeight="251660288" behindDoc="1" locked="0" layoutInCell="1" allowOverlap="1" wp14:anchorId="3BE64B57" wp14:editId="0CE528BE">
          <wp:simplePos x="0" y="0"/>
          <wp:positionH relativeFrom="margin">
            <wp:align>center</wp:align>
          </wp:positionH>
          <wp:positionV relativeFrom="bottomMargin">
            <wp:align>top</wp:align>
          </wp:positionV>
          <wp:extent cx="649941" cy="522055"/>
          <wp:effectExtent l="0" t="0" r="0" b="0"/>
          <wp:wrapNone/>
          <wp:docPr id="1222909811" name="Picture 3" descr="A green and yellow heart shaped loop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909811" name="Picture 3" descr="A green and yellow heart shaped loop&#10;&#10;Description automatically generated with medium confidenc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941" cy="522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790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C2F37" w14:textId="77777777" w:rsidR="00FA0B64" w:rsidRPr="008856D3" w:rsidRDefault="00FA0B64" w:rsidP="006D5CB9">
      <w:pPr>
        <w:spacing w:after="0" w:line="240" w:lineRule="auto"/>
      </w:pPr>
      <w:r w:rsidRPr="008856D3">
        <w:separator/>
      </w:r>
    </w:p>
  </w:footnote>
  <w:footnote w:type="continuationSeparator" w:id="0">
    <w:p w14:paraId="52AFBDBC" w14:textId="77777777" w:rsidR="00FA0B64" w:rsidRPr="008856D3" w:rsidRDefault="00FA0B64" w:rsidP="006D5CB9">
      <w:pPr>
        <w:spacing w:after="0" w:line="240" w:lineRule="auto"/>
      </w:pPr>
      <w:r w:rsidRPr="008856D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2CC2D" w14:textId="77777777" w:rsidR="006D5CB9" w:rsidRPr="008856D3" w:rsidRDefault="006D5CB9" w:rsidP="006D5CB9">
    <w:pPr>
      <w:pStyle w:val="Header"/>
      <w:tabs>
        <w:tab w:val="clear" w:pos="4513"/>
        <w:tab w:val="clear" w:pos="9026"/>
        <w:tab w:val="left" w:pos="1185"/>
      </w:tabs>
    </w:pPr>
    <w:r w:rsidRPr="008856D3">
      <w:rPr>
        <w:noProof/>
      </w:rPr>
      <w:drawing>
        <wp:anchor distT="0" distB="0" distL="114300" distR="114300" simplePos="0" relativeHeight="251659264" behindDoc="1" locked="0" layoutInCell="1" allowOverlap="1" wp14:anchorId="0155F1E3" wp14:editId="592D4012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2737456" cy="720000"/>
          <wp:effectExtent l="0" t="0" r="6350" b="4445"/>
          <wp:wrapNone/>
          <wp:docPr id="1214178267" name="Picture 1" descr="A blue letter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4178267" name="Picture 1" descr="A blue letter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7456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856D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4D1"/>
    <w:multiLevelType w:val="multilevel"/>
    <w:tmpl w:val="01987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F792D"/>
    <w:multiLevelType w:val="multilevel"/>
    <w:tmpl w:val="2AD8F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2A01CE"/>
    <w:multiLevelType w:val="multilevel"/>
    <w:tmpl w:val="F0904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300103"/>
    <w:multiLevelType w:val="multilevel"/>
    <w:tmpl w:val="EBA0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FA09E8"/>
    <w:multiLevelType w:val="multilevel"/>
    <w:tmpl w:val="88582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77406C"/>
    <w:multiLevelType w:val="multilevel"/>
    <w:tmpl w:val="4DB82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C26C87"/>
    <w:multiLevelType w:val="hybridMultilevel"/>
    <w:tmpl w:val="A4D8A3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DE3E16"/>
    <w:multiLevelType w:val="multilevel"/>
    <w:tmpl w:val="172C5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4D2A63"/>
    <w:multiLevelType w:val="multilevel"/>
    <w:tmpl w:val="BF0C9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F62439"/>
    <w:multiLevelType w:val="multilevel"/>
    <w:tmpl w:val="AEF80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927EDC"/>
    <w:multiLevelType w:val="multilevel"/>
    <w:tmpl w:val="FF54C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640829"/>
    <w:multiLevelType w:val="multilevel"/>
    <w:tmpl w:val="9D428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5612CD"/>
    <w:multiLevelType w:val="multilevel"/>
    <w:tmpl w:val="C66E0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E6079F"/>
    <w:multiLevelType w:val="multilevel"/>
    <w:tmpl w:val="257ED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2E60C6"/>
    <w:multiLevelType w:val="multilevel"/>
    <w:tmpl w:val="97DA2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941B16"/>
    <w:multiLevelType w:val="multilevel"/>
    <w:tmpl w:val="B63E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E42DDE"/>
    <w:multiLevelType w:val="multilevel"/>
    <w:tmpl w:val="CA803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645740"/>
    <w:multiLevelType w:val="multilevel"/>
    <w:tmpl w:val="EE747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72719D"/>
    <w:multiLevelType w:val="multilevel"/>
    <w:tmpl w:val="BE3C9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B854FF"/>
    <w:multiLevelType w:val="multilevel"/>
    <w:tmpl w:val="FB7EA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AC7EBF"/>
    <w:multiLevelType w:val="multilevel"/>
    <w:tmpl w:val="7DCA4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6057318">
    <w:abstractNumId w:val="10"/>
  </w:num>
  <w:num w:numId="2" w16cid:durableId="1374498995">
    <w:abstractNumId w:val="8"/>
  </w:num>
  <w:num w:numId="3" w16cid:durableId="1693651878">
    <w:abstractNumId w:val="1"/>
  </w:num>
  <w:num w:numId="4" w16cid:durableId="1926182651">
    <w:abstractNumId w:val="17"/>
  </w:num>
  <w:num w:numId="5" w16cid:durableId="298343097">
    <w:abstractNumId w:val="0"/>
  </w:num>
  <w:num w:numId="6" w16cid:durableId="143934075">
    <w:abstractNumId w:val="7"/>
  </w:num>
  <w:num w:numId="7" w16cid:durableId="1339313498">
    <w:abstractNumId w:val="3"/>
  </w:num>
  <w:num w:numId="8" w16cid:durableId="93936955">
    <w:abstractNumId w:val="9"/>
  </w:num>
  <w:num w:numId="9" w16cid:durableId="425158192">
    <w:abstractNumId w:val="20"/>
  </w:num>
  <w:num w:numId="10" w16cid:durableId="1767529873">
    <w:abstractNumId w:val="4"/>
  </w:num>
  <w:num w:numId="11" w16cid:durableId="1267229358">
    <w:abstractNumId w:val="11"/>
  </w:num>
  <w:num w:numId="12" w16cid:durableId="2142722020">
    <w:abstractNumId w:val="15"/>
  </w:num>
  <w:num w:numId="13" w16cid:durableId="127475397">
    <w:abstractNumId w:val="19"/>
  </w:num>
  <w:num w:numId="14" w16cid:durableId="1639188208">
    <w:abstractNumId w:val="5"/>
  </w:num>
  <w:num w:numId="15" w16cid:durableId="139466438">
    <w:abstractNumId w:val="13"/>
  </w:num>
  <w:num w:numId="16" w16cid:durableId="77870990">
    <w:abstractNumId w:val="12"/>
  </w:num>
  <w:num w:numId="17" w16cid:durableId="448596741">
    <w:abstractNumId w:val="18"/>
  </w:num>
  <w:num w:numId="18" w16cid:durableId="1248265406">
    <w:abstractNumId w:val="16"/>
  </w:num>
  <w:num w:numId="19" w16cid:durableId="1337613033">
    <w:abstractNumId w:val="2"/>
  </w:num>
  <w:num w:numId="20" w16cid:durableId="1520124814">
    <w:abstractNumId w:val="14"/>
  </w:num>
  <w:num w:numId="21" w16cid:durableId="774819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B64"/>
    <w:rsid w:val="000F50C2"/>
    <w:rsid w:val="00125197"/>
    <w:rsid w:val="00161DFE"/>
    <w:rsid w:val="001F1079"/>
    <w:rsid w:val="00215998"/>
    <w:rsid w:val="002C1396"/>
    <w:rsid w:val="002D1E03"/>
    <w:rsid w:val="003C063A"/>
    <w:rsid w:val="003E6765"/>
    <w:rsid w:val="00410E61"/>
    <w:rsid w:val="00476AE5"/>
    <w:rsid w:val="004A57A7"/>
    <w:rsid w:val="0051019B"/>
    <w:rsid w:val="005B7091"/>
    <w:rsid w:val="006B43F8"/>
    <w:rsid w:val="006D5CB9"/>
    <w:rsid w:val="00754494"/>
    <w:rsid w:val="007909E1"/>
    <w:rsid w:val="00790F28"/>
    <w:rsid w:val="00851A33"/>
    <w:rsid w:val="008819FB"/>
    <w:rsid w:val="008850AA"/>
    <w:rsid w:val="008856D3"/>
    <w:rsid w:val="009C64F2"/>
    <w:rsid w:val="00A06381"/>
    <w:rsid w:val="00C77902"/>
    <w:rsid w:val="00C92CF9"/>
    <w:rsid w:val="00D07FE1"/>
    <w:rsid w:val="00D260C4"/>
    <w:rsid w:val="00DC7A1B"/>
    <w:rsid w:val="00E000AB"/>
    <w:rsid w:val="00F02528"/>
    <w:rsid w:val="00F12483"/>
    <w:rsid w:val="00F8710E"/>
    <w:rsid w:val="00F97027"/>
    <w:rsid w:val="00FA0B64"/>
    <w:rsid w:val="00FE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D284B0"/>
  <w15:chartTrackingRefBased/>
  <w15:docId w15:val="{2D5E2F09-C757-40FA-ACE5-BD9D0455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19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9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19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19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9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9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9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9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9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9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19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819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819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9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9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9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9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9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19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9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9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9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19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9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19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9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9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9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19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5C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CB9"/>
  </w:style>
  <w:style w:type="paragraph" w:styleId="Footer">
    <w:name w:val="footer"/>
    <w:basedOn w:val="Normal"/>
    <w:link w:val="FooterChar"/>
    <w:uiPriority w:val="99"/>
    <w:unhideWhenUsed/>
    <w:rsid w:val="006D5C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CB9"/>
  </w:style>
  <w:style w:type="character" w:styleId="Hyperlink">
    <w:name w:val="Hyperlink"/>
    <w:basedOn w:val="DefaultParagraphFont"/>
    <w:uiPriority w:val="99"/>
    <w:unhideWhenUsed/>
    <w:rsid w:val="005101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019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A0B6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A0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thsp.co.uk/knowledge-hub/" TargetMode="External"/><Relationship Id="rId1" Type="http://schemas.openxmlformats.org/officeDocument/2006/relationships/hyperlink" Target="https://www.thsp.co.uk/knowledge-hub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Marketing\~Sales%20and%20Customer%20Collateral%20Master%20Folder~\Toolbox%20Talks\~THSP's%20Toolbox%20Talk%20Empty%20Template~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AA36E-44C7-41BE-83D3-91C3DAD08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~THSP's Toolbox Talk Empty Template~</Template>
  <TotalTime>6</TotalTime>
  <Pages>3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Mitchell</dc:creator>
  <cp:keywords/>
  <dc:description/>
  <cp:lastModifiedBy>Emma Mitchell</cp:lastModifiedBy>
  <cp:revision>2</cp:revision>
  <cp:lastPrinted>2025-01-23T14:15:00Z</cp:lastPrinted>
  <dcterms:created xsi:type="dcterms:W3CDTF">2025-03-11T15:51:00Z</dcterms:created>
  <dcterms:modified xsi:type="dcterms:W3CDTF">2025-03-11T15:58:00Z</dcterms:modified>
</cp:coreProperties>
</file>