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1FC9A" w14:textId="77777777" w:rsidR="003064D5" w:rsidRPr="003064D5" w:rsidRDefault="003064D5" w:rsidP="003064D5">
      <w:pPr>
        <w:rPr>
          <w:rFonts w:ascii="Arial" w:hAnsi="Arial" w:cs="Arial"/>
          <w:b/>
          <w:bCs/>
          <w:sz w:val="22"/>
          <w:szCs w:val="22"/>
        </w:rPr>
      </w:pPr>
      <w:r w:rsidRPr="003064D5">
        <w:rPr>
          <w:rFonts w:ascii="Arial" w:hAnsi="Arial" w:cs="Arial"/>
          <w:b/>
          <w:bCs/>
          <w:sz w:val="22"/>
          <w:szCs w:val="22"/>
        </w:rPr>
        <w:t>Toolbox Talk Template:</w:t>
      </w:r>
    </w:p>
    <w:p w14:paraId="6C347E6D" w14:textId="77777777" w:rsidR="003064D5" w:rsidRPr="003064D5" w:rsidRDefault="00B16076" w:rsidP="003064D5">
      <w:pPr>
        <w:rPr>
          <w:rFonts w:ascii="Arial" w:hAnsi="Arial" w:cs="Arial"/>
          <w:b/>
          <w:bCs/>
          <w:sz w:val="22"/>
          <w:szCs w:val="22"/>
        </w:rPr>
      </w:pPr>
      <w:r>
        <w:rPr>
          <w:rFonts w:ascii="Arial" w:hAnsi="Arial" w:cs="Arial"/>
          <w:b/>
          <w:bCs/>
          <w:sz w:val="22"/>
          <w:szCs w:val="22"/>
        </w:rPr>
        <w:pict w14:anchorId="076981AB">
          <v:rect id="_x0000_i1025" style="width:0;height:1.5pt" o:hralign="center" o:hrstd="t" o:hr="t" fillcolor="#a0a0a0" stroked="f"/>
        </w:pict>
      </w:r>
    </w:p>
    <w:p w14:paraId="34E31DAD" w14:textId="77777777" w:rsidR="003064D5" w:rsidRPr="003064D5" w:rsidRDefault="003064D5" w:rsidP="003064D5">
      <w:pPr>
        <w:rPr>
          <w:rFonts w:ascii="Arial" w:hAnsi="Arial" w:cs="Arial"/>
          <w:b/>
          <w:bCs/>
          <w:sz w:val="22"/>
          <w:szCs w:val="22"/>
        </w:rPr>
      </w:pPr>
      <w:r w:rsidRPr="003064D5">
        <w:rPr>
          <w:rFonts w:ascii="Arial" w:hAnsi="Arial" w:cs="Arial"/>
          <w:b/>
          <w:bCs/>
          <w:sz w:val="22"/>
          <w:szCs w:val="22"/>
        </w:rPr>
        <w:t>Title:</w:t>
      </w:r>
      <w:r w:rsidRPr="003064D5">
        <w:rPr>
          <w:rFonts w:ascii="Arial" w:hAnsi="Arial" w:cs="Arial"/>
          <w:b/>
          <w:bCs/>
          <w:sz w:val="22"/>
          <w:szCs w:val="22"/>
        </w:rPr>
        <w:br/>
        <w:t>Mental Health &amp; Building a Culture of Community</w:t>
      </w:r>
    </w:p>
    <w:p w14:paraId="07F635EA" w14:textId="77777777" w:rsidR="003064D5" w:rsidRPr="003064D5" w:rsidRDefault="00B16076" w:rsidP="003064D5">
      <w:pPr>
        <w:rPr>
          <w:rFonts w:ascii="Arial" w:hAnsi="Arial" w:cs="Arial"/>
          <w:b/>
          <w:bCs/>
          <w:sz w:val="22"/>
          <w:szCs w:val="22"/>
        </w:rPr>
      </w:pPr>
      <w:r>
        <w:rPr>
          <w:rFonts w:ascii="Arial" w:hAnsi="Arial" w:cs="Arial"/>
          <w:b/>
          <w:bCs/>
          <w:sz w:val="22"/>
          <w:szCs w:val="22"/>
        </w:rPr>
        <w:pict w14:anchorId="75A03A09">
          <v:rect id="_x0000_i1026" style="width:0;height:1.5pt" o:hralign="center" o:hrstd="t" o:hr="t" fillcolor="#a0a0a0" stroked="f"/>
        </w:pict>
      </w:r>
    </w:p>
    <w:p w14:paraId="0B7F111A" w14:textId="3DBEBAAE" w:rsidR="003064D5" w:rsidRPr="003064D5" w:rsidRDefault="003064D5" w:rsidP="003064D5">
      <w:pPr>
        <w:rPr>
          <w:rFonts w:ascii="Arial" w:hAnsi="Arial" w:cs="Arial"/>
          <w:b/>
          <w:bCs/>
          <w:sz w:val="22"/>
          <w:szCs w:val="22"/>
        </w:rPr>
      </w:pPr>
      <w:r w:rsidRPr="003064D5">
        <w:rPr>
          <w:rFonts w:ascii="Arial" w:hAnsi="Arial" w:cs="Arial"/>
          <w:b/>
          <w:bCs/>
          <w:sz w:val="22"/>
          <w:szCs w:val="22"/>
        </w:rPr>
        <w:t>Introduction:</w:t>
      </w:r>
      <w:r w:rsidRPr="003064D5">
        <w:rPr>
          <w:rFonts w:ascii="Arial" w:hAnsi="Arial" w:cs="Arial"/>
          <w:b/>
          <w:bCs/>
          <w:sz w:val="22"/>
          <w:szCs w:val="22"/>
        </w:rPr>
        <w:br/>
      </w:r>
      <w:r w:rsidRPr="00B16076">
        <w:rPr>
          <w:rFonts w:ascii="Arial" w:hAnsi="Arial" w:cs="Arial"/>
          <w:sz w:val="22"/>
          <w:szCs w:val="22"/>
        </w:rPr>
        <w:t xml:space="preserve">Hello and thank you for joining this Toolbox Talk on a topic that is increasingly critical in today’s working world: mental health. Last week was Mental Health Awareness Week, and this year’s theme was </w:t>
      </w:r>
      <w:r w:rsidRPr="00B16076">
        <w:rPr>
          <w:rFonts w:ascii="Arial" w:hAnsi="Arial" w:cs="Arial"/>
          <w:i/>
          <w:iCs/>
          <w:sz w:val="22"/>
          <w:szCs w:val="22"/>
        </w:rPr>
        <w:t>Community</w:t>
      </w:r>
      <w:r w:rsidRPr="00B16076">
        <w:rPr>
          <w:rFonts w:ascii="Arial" w:hAnsi="Arial" w:cs="Arial"/>
          <w:sz w:val="22"/>
          <w:szCs w:val="22"/>
        </w:rPr>
        <w:t xml:space="preserve"> </w:t>
      </w:r>
      <w:r w:rsidR="00B16076" w:rsidRPr="00B16076">
        <w:rPr>
          <w:rFonts w:ascii="Arial" w:hAnsi="Arial" w:cs="Arial"/>
          <w:sz w:val="22"/>
          <w:szCs w:val="22"/>
        </w:rPr>
        <w:t>-</w:t>
      </w:r>
      <w:r w:rsidRPr="00B16076">
        <w:rPr>
          <w:rFonts w:ascii="Arial" w:hAnsi="Arial" w:cs="Arial"/>
          <w:sz w:val="22"/>
          <w:szCs w:val="22"/>
        </w:rPr>
        <w:t xml:space="preserve"> a reminder that mental health is shaped by our environment, workplace culture, and connections with each other.</w:t>
      </w:r>
    </w:p>
    <w:p w14:paraId="24BFC3AD" w14:textId="4DDAB9C2" w:rsidR="003064D5" w:rsidRPr="003064D5" w:rsidRDefault="003064D5" w:rsidP="003064D5">
      <w:pPr>
        <w:rPr>
          <w:rFonts w:ascii="Arial" w:hAnsi="Arial" w:cs="Arial"/>
          <w:b/>
          <w:bCs/>
          <w:sz w:val="22"/>
          <w:szCs w:val="22"/>
        </w:rPr>
      </w:pPr>
      <w:r w:rsidRPr="003064D5">
        <w:rPr>
          <w:rFonts w:ascii="Arial" w:hAnsi="Arial" w:cs="Arial"/>
          <w:b/>
          <w:bCs/>
          <w:sz w:val="22"/>
          <w:szCs w:val="22"/>
        </w:rPr>
        <w:t>Presenter Name and Role:</w:t>
      </w:r>
    </w:p>
    <w:p w14:paraId="6BC28449" w14:textId="77777777" w:rsidR="003064D5" w:rsidRPr="003064D5" w:rsidRDefault="00B16076" w:rsidP="003064D5">
      <w:pPr>
        <w:rPr>
          <w:rFonts w:ascii="Arial" w:hAnsi="Arial" w:cs="Arial"/>
          <w:b/>
          <w:bCs/>
          <w:sz w:val="22"/>
          <w:szCs w:val="22"/>
        </w:rPr>
      </w:pPr>
      <w:r>
        <w:rPr>
          <w:rFonts w:ascii="Arial" w:hAnsi="Arial" w:cs="Arial"/>
          <w:b/>
          <w:bCs/>
          <w:sz w:val="22"/>
          <w:szCs w:val="22"/>
        </w:rPr>
        <w:pict w14:anchorId="1EDF5EF6">
          <v:rect id="_x0000_i1027" style="width:0;height:1.5pt" o:hralign="center" o:hrstd="t" o:hr="t" fillcolor="#a0a0a0" stroked="f"/>
        </w:pict>
      </w:r>
    </w:p>
    <w:p w14:paraId="2059C674" w14:textId="77777777" w:rsidR="003064D5" w:rsidRPr="00B16076" w:rsidRDefault="003064D5" w:rsidP="003064D5">
      <w:pPr>
        <w:rPr>
          <w:rFonts w:ascii="Arial" w:hAnsi="Arial" w:cs="Arial"/>
          <w:sz w:val="22"/>
          <w:szCs w:val="22"/>
        </w:rPr>
      </w:pPr>
      <w:r w:rsidRPr="003064D5">
        <w:rPr>
          <w:rFonts w:ascii="Arial" w:hAnsi="Arial" w:cs="Arial"/>
          <w:b/>
          <w:bCs/>
          <w:sz w:val="22"/>
          <w:szCs w:val="22"/>
        </w:rPr>
        <w:t>Purpose of Today’s Toolbox Talk:</w:t>
      </w:r>
      <w:r w:rsidRPr="003064D5">
        <w:rPr>
          <w:rFonts w:ascii="Arial" w:hAnsi="Arial" w:cs="Arial"/>
          <w:b/>
          <w:bCs/>
          <w:sz w:val="22"/>
          <w:szCs w:val="22"/>
        </w:rPr>
        <w:br/>
      </w:r>
      <w:r w:rsidRPr="00B16076">
        <w:rPr>
          <w:rFonts w:ascii="Arial" w:hAnsi="Arial" w:cs="Arial"/>
          <w:sz w:val="22"/>
          <w:szCs w:val="22"/>
        </w:rPr>
        <w:t>In today’s 10-minute session, we’ll cover:</w:t>
      </w:r>
    </w:p>
    <w:p w14:paraId="2F1F1334" w14:textId="77777777" w:rsidR="003064D5" w:rsidRPr="00B16076" w:rsidRDefault="003064D5" w:rsidP="003064D5">
      <w:pPr>
        <w:numPr>
          <w:ilvl w:val="0"/>
          <w:numId w:val="13"/>
        </w:numPr>
        <w:rPr>
          <w:rFonts w:ascii="Arial" w:hAnsi="Arial" w:cs="Arial"/>
          <w:sz w:val="22"/>
          <w:szCs w:val="22"/>
        </w:rPr>
      </w:pPr>
      <w:r w:rsidRPr="00B16076">
        <w:rPr>
          <w:rFonts w:ascii="Arial" w:hAnsi="Arial" w:cs="Arial"/>
          <w:sz w:val="22"/>
          <w:szCs w:val="22"/>
        </w:rPr>
        <w:t>The current state of mental health in the workplace</w:t>
      </w:r>
    </w:p>
    <w:p w14:paraId="56307B2B" w14:textId="77777777" w:rsidR="003064D5" w:rsidRPr="00B16076" w:rsidRDefault="003064D5" w:rsidP="003064D5">
      <w:pPr>
        <w:numPr>
          <w:ilvl w:val="0"/>
          <w:numId w:val="13"/>
        </w:numPr>
        <w:rPr>
          <w:rFonts w:ascii="Arial" w:hAnsi="Arial" w:cs="Arial"/>
          <w:sz w:val="22"/>
          <w:szCs w:val="22"/>
        </w:rPr>
      </w:pPr>
      <w:r w:rsidRPr="00B16076">
        <w:rPr>
          <w:rFonts w:ascii="Arial" w:hAnsi="Arial" w:cs="Arial"/>
          <w:sz w:val="22"/>
          <w:szCs w:val="22"/>
        </w:rPr>
        <w:t>Why community matters and how it protects against burnout</w:t>
      </w:r>
    </w:p>
    <w:p w14:paraId="1CF21330" w14:textId="77777777" w:rsidR="003064D5" w:rsidRPr="00B16076" w:rsidRDefault="003064D5" w:rsidP="003064D5">
      <w:pPr>
        <w:numPr>
          <w:ilvl w:val="0"/>
          <w:numId w:val="13"/>
        </w:numPr>
        <w:rPr>
          <w:rFonts w:ascii="Arial" w:hAnsi="Arial" w:cs="Arial"/>
          <w:sz w:val="22"/>
          <w:szCs w:val="22"/>
        </w:rPr>
      </w:pPr>
      <w:r w:rsidRPr="00B16076">
        <w:rPr>
          <w:rFonts w:ascii="Arial" w:hAnsi="Arial" w:cs="Arial"/>
          <w:sz w:val="22"/>
          <w:szCs w:val="22"/>
        </w:rPr>
        <w:t>Three key tools to build a mentally healthy workplace</w:t>
      </w:r>
    </w:p>
    <w:p w14:paraId="0DD6E7DD" w14:textId="77777777" w:rsidR="003064D5" w:rsidRPr="00B16076" w:rsidRDefault="003064D5" w:rsidP="003064D5">
      <w:pPr>
        <w:numPr>
          <w:ilvl w:val="0"/>
          <w:numId w:val="13"/>
        </w:numPr>
        <w:rPr>
          <w:rFonts w:ascii="Arial" w:hAnsi="Arial" w:cs="Arial"/>
          <w:sz w:val="22"/>
          <w:szCs w:val="22"/>
        </w:rPr>
      </w:pPr>
      <w:r w:rsidRPr="00B16076">
        <w:rPr>
          <w:rFonts w:ascii="Arial" w:hAnsi="Arial" w:cs="Arial"/>
          <w:sz w:val="22"/>
          <w:szCs w:val="22"/>
        </w:rPr>
        <w:t>Practical steps any business can take, starting today</w:t>
      </w:r>
    </w:p>
    <w:p w14:paraId="0889D172" w14:textId="77777777" w:rsidR="003064D5" w:rsidRPr="003064D5" w:rsidRDefault="00B16076" w:rsidP="003064D5">
      <w:pPr>
        <w:rPr>
          <w:rFonts w:ascii="Arial" w:hAnsi="Arial" w:cs="Arial"/>
          <w:b/>
          <w:bCs/>
          <w:sz w:val="22"/>
          <w:szCs w:val="22"/>
        </w:rPr>
      </w:pPr>
      <w:r>
        <w:rPr>
          <w:rFonts w:ascii="Arial" w:hAnsi="Arial" w:cs="Arial"/>
          <w:b/>
          <w:bCs/>
          <w:sz w:val="22"/>
          <w:szCs w:val="22"/>
        </w:rPr>
        <w:pict w14:anchorId="7A4AC839">
          <v:rect id="_x0000_i1028" style="width:0;height:1.5pt" o:hralign="center" o:hrstd="t" o:hr="t" fillcolor="#a0a0a0" stroked="f"/>
        </w:pict>
      </w:r>
    </w:p>
    <w:p w14:paraId="2A34B2D2" w14:textId="77777777" w:rsidR="003064D5" w:rsidRPr="003064D5" w:rsidRDefault="003064D5" w:rsidP="003064D5">
      <w:pPr>
        <w:rPr>
          <w:rFonts w:ascii="Arial" w:hAnsi="Arial" w:cs="Arial"/>
          <w:b/>
          <w:bCs/>
          <w:sz w:val="22"/>
          <w:szCs w:val="22"/>
        </w:rPr>
      </w:pPr>
      <w:r w:rsidRPr="003064D5">
        <w:rPr>
          <w:rFonts w:ascii="Arial" w:hAnsi="Arial" w:cs="Arial"/>
          <w:b/>
          <w:bCs/>
          <w:sz w:val="22"/>
          <w:szCs w:val="22"/>
        </w:rPr>
        <w:t>Key Content:</w:t>
      </w:r>
    </w:p>
    <w:p w14:paraId="42BCE2CD" w14:textId="77777777" w:rsidR="003064D5" w:rsidRPr="003064D5" w:rsidRDefault="003064D5" w:rsidP="003064D5">
      <w:pPr>
        <w:numPr>
          <w:ilvl w:val="0"/>
          <w:numId w:val="14"/>
        </w:numPr>
        <w:rPr>
          <w:rFonts w:ascii="Arial" w:hAnsi="Arial" w:cs="Arial"/>
          <w:b/>
          <w:bCs/>
          <w:sz w:val="22"/>
          <w:szCs w:val="22"/>
        </w:rPr>
      </w:pPr>
      <w:r w:rsidRPr="003064D5">
        <w:rPr>
          <w:rFonts w:ascii="Arial" w:hAnsi="Arial" w:cs="Arial"/>
          <w:b/>
          <w:bCs/>
          <w:sz w:val="22"/>
          <w:szCs w:val="22"/>
        </w:rPr>
        <w:t>The Big Picture – Why Mental Health Matters</w:t>
      </w:r>
    </w:p>
    <w:p w14:paraId="6355BB5F" w14:textId="77777777" w:rsidR="003064D5" w:rsidRPr="00B16076" w:rsidRDefault="003064D5" w:rsidP="003064D5">
      <w:pPr>
        <w:numPr>
          <w:ilvl w:val="0"/>
          <w:numId w:val="15"/>
        </w:numPr>
        <w:rPr>
          <w:rFonts w:ascii="Arial" w:hAnsi="Arial" w:cs="Arial"/>
          <w:sz w:val="22"/>
          <w:szCs w:val="22"/>
        </w:rPr>
      </w:pPr>
      <w:r w:rsidRPr="00B16076">
        <w:rPr>
          <w:rFonts w:ascii="Arial" w:hAnsi="Arial" w:cs="Arial"/>
          <w:sz w:val="22"/>
          <w:szCs w:val="22"/>
        </w:rPr>
        <w:t>1 in 4 people in the UK experience a mental health problem each year</w:t>
      </w:r>
    </w:p>
    <w:p w14:paraId="6B0210BD" w14:textId="77777777" w:rsidR="003064D5" w:rsidRPr="00B16076" w:rsidRDefault="003064D5" w:rsidP="003064D5">
      <w:pPr>
        <w:numPr>
          <w:ilvl w:val="0"/>
          <w:numId w:val="15"/>
        </w:numPr>
        <w:rPr>
          <w:rFonts w:ascii="Arial" w:hAnsi="Arial" w:cs="Arial"/>
          <w:sz w:val="22"/>
          <w:szCs w:val="22"/>
        </w:rPr>
      </w:pPr>
      <w:r w:rsidRPr="00B16076">
        <w:rPr>
          <w:rFonts w:ascii="Arial" w:hAnsi="Arial" w:cs="Arial"/>
          <w:sz w:val="22"/>
          <w:szCs w:val="22"/>
        </w:rPr>
        <w:t>Mental ill health is the leading cause of long-term sickness absence</w:t>
      </w:r>
    </w:p>
    <w:p w14:paraId="49490BB6" w14:textId="77777777" w:rsidR="003064D5" w:rsidRPr="00B16076" w:rsidRDefault="003064D5" w:rsidP="003064D5">
      <w:pPr>
        <w:numPr>
          <w:ilvl w:val="0"/>
          <w:numId w:val="15"/>
        </w:numPr>
        <w:rPr>
          <w:rFonts w:ascii="Arial" w:hAnsi="Arial" w:cs="Arial"/>
          <w:sz w:val="22"/>
          <w:szCs w:val="22"/>
        </w:rPr>
      </w:pPr>
      <w:r w:rsidRPr="00B16076">
        <w:rPr>
          <w:rFonts w:ascii="Arial" w:hAnsi="Arial" w:cs="Arial"/>
          <w:sz w:val="22"/>
          <w:szCs w:val="22"/>
        </w:rPr>
        <w:t>Poor mental health costs UK employers over £56 billion annually</w:t>
      </w:r>
    </w:p>
    <w:p w14:paraId="12531212" w14:textId="77777777" w:rsidR="003064D5" w:rsidRPr="00B16076" w:rsidRDefault="003064D5" w:rsidP="003064D5">
      <w:pPr>
        <w:numPr>
          <w:ilvl w:val="0"/>
          <w:numId w:val="15"/>
        </w:numPr>
        <w:rPr>
          <w:rFonts w:ascii="Arial" w:hAnsi="Arial" w:cs="Arial"/>
          <w:sz w:val="22"/>
          <w:szCs w:val="22"/>
        </w:rPr>
      </w:pPr>
      <w:r w:rsidRPr="00B16076">
        <w:rPr>
          <w:rFonts w:ascii="Arial" w:hAnsi="Arial" w:cs="Arial"/>
          <w:sz w:val="22"/>
          <w:szCs w:val="22"/>
        </w:rPr>
        <w:t>17 million working days lost in 2022 due to stress, depression, or anxiety</w:t>
      </w:r>
    </w:p>
    <w:p w14:paraId="3CA8503A" w14:textId="52A39EE5" w:rsidR="00B16076" w:rsidRPr="00B16076" w:rsidRDefault="003064D5" w:rsidP="00B16076">
      <w:pPr>
        <w:numPr>
          <w:ilvl w:val="0"/>
          <w:numId w:val="15"/>
        </w:numPr>
        <w:rPr>
          <w:rFonts w:ascii="Arial" w:hAnsi="Arial" w:cs="Arial"/>
          <w:sz w:val="22"/>
          <w:szCs w:val="22"/>
        </w:rPr>
      </w:pPr>
      <w:r w:rsidRPr="00B16076">
        <w:rPr>
          <w:rFonts w:ascii="Arial" w:hAnsi="Arial" w:cs="Arial"/>
          <w:sz w:val="22"/>
          <w:szCs w:val="22"/>
        </w:rPr>
        <w:t>Despite awareness, many employees feel unable to speak openly about mental health</w:t>
      </w:r>
    </w:p>
    <w:p w14:paraId="616E970B" w14:textId="77777777" w:rsidR="003064D5" w:rsidRPr="003064D5" w:rsidRDefault="003064D5" w:rsidP="003064D5">
      <w:pPr>
        <w:numPr>
          <w:ilvl w:val="0"/>
          <w:numId w:val="16"/>
        </w:numPr>
        <w:rPr>
          <w:rFonts w:ascii="Arial" w:hAnsi="Arial" w:cs="Arial"/>
          <w:b/>
          <w:bCs/>
          <w:sz w:val="22"/>
          <w:szCs w:val="22"/>
        </w:rPr>
      </w:pPr>
      <w:r w:rsidRPr="003064D5">
        <w:rPr>
          <w:rFonts w:ascii="Arial" w:hAnsi="Arial" w:cs="Arial"/>
          <w:b/>
          <w:bCs/>
          <w:sz w:val="22"/>
          <w:szCs w:val="22"/>
        </w:rPr>
        <w:t>The Importance of Community</w:t>
      </w:r>
    </w:p>
    <w:p w14:paraId="6AA55B82" w14:textId="77777777" w:rsidR="003064D5" w:rsidRPr="00B16076" w:rsidRDefault="003064D5" w:rsidP="003064D5">
      <w:pPr>
        <w:numPr>
          <w:ilvl w:val="0"/>
          <w:numId w:val="17"/>
        </w:numPr>
        <w:rPr>
          <w:rFonts w:ascii="Arial" w:hAnsi="Arial" w:cs="Arial"/>
          <w:sz w:val="22"/>
          <w:szCs w:val="22"/>
        </w:rPr>
      </w:pPr>
      <w:r w:rsidRPr="00B16076">
        <w:rPr>
          <w:rFonts w:ascii="Arial" w:hAnsi="Arial" w:cs="Arial"/>
          <w:sz w:val="22"/>
          <w:szCs w:val="22"/>
        </w:rPr>
        <w:t>85% of UK workers have experienced burnout symptoms</w:t>
      </w:r>
    </w:p>
    <w:p w14:paraId="64B47440" w14:textId="77777777" w:rsidR="003064D5" w:rsidRPr="00B16076" w:rsidRDefault="003064D5" w:rsidP="003064D5">
      <w:pPr>
        <w:numPr>
          <w:ilvl w:val="0"/>
          <w:numId w:val="17"/>
        </w:numPr>
        <w:rPr>
          <w:rFonts w:ascii="Arial" w:hAnsi="Arial" w:cs="Arial"/>
          <w:sz w:val="22"/>
          <w:szCs w:val="22"/>
        </w:rPr>
      </w:pPr>
      <w:r w:rsidRPr="00B16076">
        <w:rPr>
          <w:rFonts w:ascii="Arial" w:hAnsi="Arial" w:cs="Arial"/>
          <w:sz w:val="22"/>
          <w:szCs w:val="22"/>
        </w:rPr>
        <w:t>Only 13% feel comfortable discussing mental health at work</w:t>
      </w:r>
    </w:p>
    <w:p w14:paraId="79DC95E9" w14:textId="77777777" w:rsidR="003064D5" w:rsidRPr="00B16076" w:rsidRDefault="003064D5" w:rsidP="003064D5">
      <w:pPr>
        <w:numPr>
          <w:ilvl w:val="0"/>
          <w:numId w:val="17"/>
        </w:numPr>
        <w:rPr>
          <w:rFonts w:ascii="Arial" w:hAnsi="Arial" w:cs="Arial"/>
          <w:sz w:val="22"/>
          <w:szCs w:val="22"/>
        </w:rPr>
      </w:pPr>
      <w:r w:rsidRPr="00B16076">
        <w:rPr>
          <w:rFonts w:ascii="Arial" w:hAnsi="Arial" w:cs="Arial"/>
          <w:sz w:val="22"/>
          <w:szCs w:val="22"/>
        </w:rPr>
        <w:t>47% believe open conversations would significantly improve wellbeing</w:t>
      </w:r>
    </w:p>
    <w:p w14:paraId="1E70039B" w14:textId="77777777" w:rsidR="003064D5" w:rsidRPr="00B16076" w:rsidRDefault="003064D5" w:rsidP="003064D5">
      <w:pPr>
        <w:numPr>
          <w:ilvl w:val="0"/>
          <w:numId w:val="17"/>
        </w:numPr>
        <w:rPr>
          <w:rFonts w:ascii="Arial" w:hAnsi="Arial" w:cs="Arial"/>
          <w:sz w:val="22"/>
          <w:szCs w:val="22"/>
        </w:rPr>
      </w:pPr>
      <w:r w:rsidRPr="00B16076">
        <w:rPr>
          <w:rFonts w:ascii="Arial" w:hAnsi="Arial" w:cs="Arial"/>
          <w:sz w:val="22"/>
          <w:szCs w:val="22"/>
        </w:rPr>
        <w:t>A culture of connection helps people feel safe to speak and supported</w:t>
      </w:r>
    </w:p>
    <w:p w14:paraId="4A4723CE" w14:textId="77777777" w:rsidR="003064D5" w:rsidRPr="003064D5" w:rsidRDefault="003064D5" w:rsidP="003064D5">
      <w:pPr>
        <w:numPr>
          <w:ilvl w:val="0"/>
          <w:numId w:val="18"/>
        </w:numPr>
        <w:rPr>
          <w:rFonts w:ascii="Arial" w:hAnsi="Arial" w:cs="Arial"/>
          <w:b/>
          <w:bCs/>
          <w:sz w:val="22"/>
          <w:szCs w:val="22"/>
        </w:rPr>
      </w:pPr>
      <w:r w:rsidRPr="003064D5">
        <w:rPr>
          <w:rFonts w:ascii="Arial" w:hAnsi="Arial" w:cs="Arial"/>
          <w:b/>
          <w:bCs/>
          <w:sz w:val="22"/>
          <w:szCs w:val="22"/>
        </w:rPr>
        <w:t>Three Key Tools to Build a Mentally Healthy Workplace</w:t>
      </w:r>
    </w:p>
    <w:p w14:paraId="26356F27" w14:textId="77777777" w:rsidR="003064D5" w:rsidRPr="00B16076" w:rsidRDefault="003064D5" w:rsidP="003064D5">
      <w:pPr>
        <w:numPr>
          <w:ilvl w:val="0"/>
          <w:numId w:val="19"/>
        </w:numPr>
        <w:rPr>
          <w:rFonts w:ascii="Arial" w:hAnsi="Arial" w:cs="Arial"/>
          <w:sz w:val="22"/>
          <w:szCs w:val="22"/>
        </w:rPr>
      </w:pPr>
      <w:r w:rsidRPr="00B16076">
        <w:rPr>
          <w:rFonts w:ascii="Arial" w:hAnsi="Arial" w:cs="Arial"/>
          <w:i/>
          <w:iCs/>
          <w:sz w:val="22"/>
          <w:szCs w:val="22"/>
        </w:rPr>
        <w:lastRenderedPageBreak/>
        <w:t>Mental Health First Aiders</w:t>
      </w:r>
      <w:r w:rsidRPr="00B16076">
        <w:rPr>
          <w:rFonts w:ascii="Arial" w:hAnsi="Arial" w:cs="Arial"/>
          <w:sz w:val="22"/>
          <w:szCs w:val="22"/>
        </w:rPr>
        <w:t>: trained team members offering confidential support and signposting</w:t>
      </w:r>
    </w:p>
    <w:p w14:paraId="6AF5F26C" w14:textId="77777777" w:rsidR="003064D5" w:rsidRPr="00B16076" w:rsidRDefault="003064D5" w:rsidP="003064D5">
      <w:pPr>
        <w:numPr>
          <w:ilvl w:val="0"/>
          <w:numId w:val="19"/>
        </w:numPr>
        <w:rPr>
          <w:rFonts w:ascii="Arial" w:hAnsi="Arial" w:cs="Arial"/>
          <w:sz w:val="22"/>
          <w:szCs w:val="22"/>
        </w:rPr>
      </w:pPr>
      <w:r w:rsidRPr="00B16076">
        <w:rPr>
          <w:rFonts w:ascii="Arial" w:hAnsi="Arial" w:cs="Arial"/>
          <w:i/>
          <w:iCs/>
          <w:sz w:val="22"/>
          <w:szCs w:val="22"/>
        </w:rPr>
        <w:t>Wellbeing Action Plans</w:t>
      </w:r>
      <w:r w:rsidRPr="00B16076">
        <w:rPr>
          <w:rFonts w:ascii="Arial" w:hAnsi="Arial" w:cs="Arial"/>
          <w:sz w:val="22"/>
          <w:szCs w:val="22"/>
        </w:rPr>
        <w:t>: practical tools to structure conversations between employees and managers about mental health</w:t>
      </w:r>
    </w:p>
    <w:p w14:paraId="78620F78" w14:textId="77777777" w:rsidR="003064D5" w:rsidRPr="00B16076" w:rsidRDefault="003064D5" w:rsidP="003064D5">
      <w:pPr>
        <w:numPr>
          <w:ilvl w:val="0"/>
          <w:numId w:val="19"/>
        </w:numPr>
        <w:rPr>
          <w:rFonts w:ascii="Arial" w:hAnsi="Arial" w:cs="Arial"/>
          <w:sz w:val="22"/>
          <w:szCs w:val="22"/>
        </w:rPr>
      </w:pPr>
      <w:r w:rsidRPr="00B16076">
        <w:rPr>
          <w:rFonts w:ascii="Arial" w:hAnsi="Arial" w:cs="Arial"/>
          <w:i/>
          <w:iCs/>
          <w:sz w:val="22"/>
          <w:szCs w:val="22"/>
        </w:rPr>
        <w:t>HR as a Community Builder</w:t>
      </w:r>
      <w:r w:rsidRPr="00B16076">
        <w:rPr>
          <w:rFonts w:ascii="Arial" w:hAnsi="Arial" w:cs="Arial"/>
          <w:sz w:val="22"/>
          <w:szCs w:val="22"/>
        </w:rPr>
        <w:t>: shaping policies and culture that promote psychological safety and ongoing wellbeing support</w:t>
      </w:r>
    </w:p>
    <w:p w14:paraId="64F860B5" w14:textId="77777777" w:rsidR="003064D5" w:rsidRPr="003064D5" w:rsidRDefault="003064D5" w:rsidP="003064D5">
      <w:pPr>
        <w:numPr>
          <w:ilvl w:val="0"/>
          <w:numId w:val="20"/>
        </w:numPr>
        <w:rPr>
          <w:rFonts w:ascii="Arial" w:hAnsi="Arial" w:cs="Arial"/>
          <w:b/>
          <w:bCs/>
          <w:sz w:val="22"/>
          <w:szCs w:val="22"/>
        </w:rPr>
      </w:pPr>
      <w:r w:rsidRPr="003064D5">
        <w:rPr>
          <w:rFonts w:ascii="Arial" w:hAnsi="Arial" w:cs="Arial"/>
          <w:b/>
          <w:bCs/>
          <w:sz w:val="22"/>
          <w:szCs w:val="22"/>
        </w:rPr>
        <w:t>The Business Case for Mental Health Investment</w:t>
      </w:r>
    </w:p>
    <w:p w14:paraId="27A2F22C" w14:textId="77777777" w:rsidR="003064D5" w:rsidRPr="00B16076" w:rsidRDefault="003064D5" w:rsidP="003064D5">
      <w:pPr>
        <w:numPr>
          <w:ilvl w:val="0"/>
          <w:numId w:val="21"/>
        </w:numPr>
        <w:rPr>
          <w:rFonts w:ascii="Arial" w:hAnsi="Arial" w:cs="Arial"/>
          <w:sz w:val="22"/>
          <w:szCs w:val="22"/>
        </w:rPr>
      </w:pPr>
      <w:r w:rsidRPr="00B16076">
        <w:rPr>
          <w:rFonts w:ascii="Arial" w:hAnsi="Arial" w:cs="Arial"/>
          <w:sz w:val="22"/>
          <w:szCs w:val="22"/>
        </w:rPr>
        <w:t>For every £1 invested, employers see up to £5 return</w:t>
      </w:r>
    </w:p>
    <w:p w14:paraId="31314379" w14:textId="77777777" w:rsidR="003064D5" w:rsidRPr="00B16076" w:rsidRDefault="003064D5" w:rsidP="003064D5">
      <w:pPr>
        <w:numPr>
          <w:ilvl w:val="0"/>
          <w:numId w:val="21"/>
        </w:numPr>
        <w:rPr>
          <w:rFonts w:ascii="Arial" w:hAnsi="Arial" w:cs="Arial"/>
          <w:sz w:val="22"/>
          <w:szCs w:val="22"/>
        </w:rPr>
      </w:pPr>
      <w:r w:rsidRPr="00B16076">
        <w:rPr>
          <w:rFonts w:ascii="Arial" w:hAnsi="Arial" w:cs="Arial"/>
          <w:sz w:val="22"/>
          <w:szCs w:val="22"/>
        </w:rPr>
        <w:t>Supported workplaces report 25–30% lower turnover</w:t>
      </w:r>
    </w:p>
    <w:p w14:paraId="49F6495B" w14:textId="77777777" w:rsidR="003064D5" w:rsidRPr="00B16076" w:rsidRDefault="003064D5" w:rsidP="003064D5">
      <w:pPr>
        <w:numPr>
          <w:ilvl w:val="0"/>
          <w:numId w:val="21"/>
        </w:numPr>
        <w:rPr>
          <w:rFonts w:ascii="Arial" w:hAnsi="Arial" w:cs="Arial"/>
          <w:sz w:val="22"/>
          <w:szCs w:val="22"/>
        </w:rPr>
      </w:pPr>
      <w:r w:rsidRPr="00B16076">
        <w:rPr>
          <w:rFonts w:ascii="Arial" w:hAnsi="Arial" w:cs="Arial"/>
          <w:sz w:val="22"/>
          <w:szCs w:val="22"/>
        </w:rPr>
        <w:t>Employees with mental health support are 60% more likely to stay</w:t>
      </w:r>
    </w:p>
    <w:p w14:paraId="0868FE14" w14:textId="77777777" w:rsidR="003064D5" w:rsidRPr="00B16076" w:rsidRDefault="003064D5" w:rsidP="003064D5">
      <w:pPr>
        <w:numPr>
          <w:ilvl w:val="0"/>
          <w:numId w:val="21"/>
        </w:numPr>
        <w:rPr>
          <w:rFonts w:ascii="Arial" w:hAnsi="Arial" w:cs="Arial"/>
          <w:sz w:val="22"/>
          <w:szCs w:val="22"/>
        </w:rPr>
      </w:pPr>
      <w:r w:rsidRPr="00B16076">
        <w:rPr>
          <w:rFonts w:ascii="Arial" w:hAnsi="Arial" w:cs="Arial"/>
          <w:sz w:val="22"/>
          <w:szCs w:val="22"/>
        </w:rPr>
        <w:t>Mental wellbeing improves engagement, teamwork, and productivity</w:t>
      </w:r>
    </w:p>
    <w:p w14:paraId="3EE80CD3" w14:textId="77777777" w:rsidR="003064D5" w:rsidRPr="003064D5" w:rsidRDefault="003064D5" w:rsidP="003064D5">
      <w:pPr>
        <w:numPr>
          <w:ilvl w:val="0"/>
          <w:numId w:val="22"/>
        </w:numPr>
        <w:rPr>
          <w:rFonts w:ascii="Arial" w:hAnsi="Arial" w:cs="Arial"/>
          <w:b/>
          <w:bCs/>
          <w:sz w:val="22"/>
          <w:szCs w:val="22"/>
        </w:rPr>
      </w:pPr>
      <w:r w:rsidRPr="003064D5">
        <w:rPr>
          <w:rFonts w:ascii="Arial" w:hAnsi="Arial" w:cs="Arial"/>
          <w:b/>
          <w:bCs/>
          <w:sz w:val="22"/>
          <w:szCs w:val="22"/>
        </w:rPr>
        <w:t>Practical Steps You Can Take This Week</w:t>
      </w:r>
    </w:p>
    <w:p w14:paraId="6740C009" w14:textId="77777777" w:rsidR="003064D5" w:rsidRPr="00B16076" w:rsidRDefault="003064D5" w:rsidP="003064D5">
      <w:pPr>
        <w:numPr>
          <w:ilvl w:val="0"/>
          <w:numId w:val="23"/>
        </w:numPr>
        <w:rPr>
          <w:rFonts w:ascii="Arial" w:hAnsi="Arial" w:cs="Arial"/>
          <w:sz w:val="22"/>
          <w:szCs w:val="22"/>
        </w:rPr>
      </w:pPr>
      <w:r w:rsidRPr="00B16076">
        <w:rPr>
          <w:rFonts w:ascii="Arial" w:hAnsi="Arial" w:cs="Arial"/>
          <w:sz w:val="22"/>
          <w:szCs w:val="22"/>
        </w:rPr>
        <w:t>Identify your Mental Health First Aiders and promote their role</w:t>
      </w:r>
    </w:p>
    <w:p w14:paraId="3A13FAC0" w14:textId="77777777" w:rsidR="003064D5" w:rsidRPr="00B16076" w:rsidRDefault="003064D5" w:rsidP="003064D5">
      <w:pPr>
        <w:numPr>
          <w:ilvl w:val="0"/>
          <w:numId w:val="23"/>
        </w:numPr>
        <w:rPr>
          <w:rFonts w:ascii="Arial" w:hAnsi="Arial" w:cs="Arial"/>
          <w:sz w:val="22"/>
          <w:szCs w:val="22"/>
        </w:rPr>
      </w:pPr>
      <w:r w:rsidRPr="00B16076">
        <w:rPr>
          <w:rFonts w:ascii="Arial" w:hAnsi="Arial" w:cs="Arial"/>
          <w:sz w:val="22"/>
          <w:szCs w:val="22"/>
        </w:rPr>
        <w:t>Encourage a Wellbeing Action Plan for yourself or a team member</w:t>
      </w:r>
    </w:p>
    <w:p w14:paraId="2B877DA7" w14:textId="77777777" w:rsidR="003064D5" w:rsidRPr="00B16076" w:rsidRDefault="003064D5" w:rsidP="003064D5">
      <w:pPr>
        <w:numPr>
          <w:ilvl w:val="0"/>
          <w:numId w:val="23"/>
        </w:numPr>
        <w:rPr>
          <w:rFonts w:ascii="Arial" w:hAnsi="Arial" w:cs="Arial"/>
          <w:sz w:val="22"/>
          <w:szCs w:val="22"/>
        </w:rPr>
      </w:pPr>
      <w:r w:rsidRPr="00B16076">
        <w:rPr>
          <w:rFonts w:ascii="Arial" w:hAnsi="Arial" w:cs="Arial"/>
          <w:sz w:val="22"/>
          <w:szCs w:val="22"/>
        </w:rPr>
        <w:t>Check in with colleagues who seem quieter than usual</w:t>
      </w:r>
    </w:p>
    <w:p w14:paraId="07EC4AB6" w14:textId="77777777" w:rsidR="003064D5" w:rsidRPr="00B16076" w:rsidRDefault="003064D5" w:rsidP="003064D5">
      <w:pPr>
        <w:numPr>
          <w:ilvl w:val="0"/>
          <w:numId w:val="23"/>
        </w:numPr>
        <w:rPr>
          <w:rFonts w:ascii="Arial" w:hAnsi="Arial" w:cs="Arial"/>
          <w:sz w:val="22"/>
          <w:szCs w:val="22"/>
        </w:rPr>
      </w:pPr>
      <w:r w:rsidRPr="00B16076">
        <w:rPr>
          <w:rFonts w:ascii="Arial" w:hAnsi="Arial" w:cs="Arial"/>
          <w:sz w:val="22"/>
          <w:szCs w:val="22"/>
        </w:rPr>
        <w:t>Review HR policies for inclusivity and supportiveness</w:t>
      </w:r>
    </w:p>
    <w:p w14:paraId="0EFACFD5" w14:textId="77777777" w:rsidR="003064D5" w:rsidRPr="003064D5" w:rsidRDefault="003064D5" w:rsidP="003064D5">
      <w:pPr>
        <w:numPr>
          <w:ilvl w:val="0"/>
          <w:numId w:val="23"/>
        </w:numPr>
        <w:rPr>
          <w:rFonts w:ascii="Arial" w:hAnsi="Arial" w:cs="Arial"/>
          <w:b/>
          <w:bCs/>
          <w:sz w:val="22"/>
          <w:szCs w:val="22"/>
        </w:rPr>
      </w:pPr>
      <w:r w:rsidRPr="00B16076">
        <w:rPr>
          <w:rFonts w:ascii="Arial" w:hAnsi="Arial" w:cs="Arial"/>
          <w:sz w:val="22"/>
          <w:szCs w:val="22"/>
        </w:rPr>
        <w:t>Start small by asking, “How are you?” and really listening</w:t>
      </w:r>
    </w:p>
    <w:p w14:paraId="4703DC32" w14:textId="77777777" w:rsidR="003064D5" w:rsidRPr="003064D5" w:rsidRDefault="00B16076" w:rsidP="003064D5">
      <w:pPr>
        <w:rPr>
          <w:rFonts w:ascii="Arial" w:hAnsi="Arial" w:cs="Arial"/>
          <w:b/>
          <w:bCs/>
          <w:sz w:val="22"/>
          <w:szCs w:val="22"/>
        </w:rPr>
      </w:pPr>
      <w:r>
        <w:rPr>
          <w:rFonts w:ascii="Arial" w:hAnsi="Arial" w:cs="Arial"/>
          <w:b/>
          <w:bCs/>
          <w:sz w:val="22"/>
          <w:szCs w:val="22"/>
        </w:rPr>
        <w:pict w14:anchorId="21F03024">
          <v:rect id="_x0000_i1029" style="width:0;height:1.5pt" o:hralign="center" o:hrstd="t" o:hr="t" fillcolor="#a0a0a0" stroked="f"/>
        </w:pict>
      </w:r>
    </w:p>
    <w:p w14:paraId="7A233E61" w14:textId="77777777" w:rsidR="003064D5" w:rsidRPr="003064D5" w:rsidRDefault="003064D5" w:rsidP="003064D5">
      <w:pPr>
        <w:rPr>
          <w:rFonts w:ascii="Arial" w:hAnsi="Arial" w:cs="Arial"/>
          <w:b/>
          <w:bCs/>
          <w:sz w:val="22"/>
          <w:szCs w:val="22"/>
        </w:rPr>
      </w:pPr>
      <w:r w:rsidRPr="003064D5">
        <w:rPr>
          <w:rFonts w:ascii="Arial" w:hAnsi="Arial" w:cs="Arial"/>
          <w:b/>
          <w:bCs/>
          <w:sz w:val="22"/>
          <w:szCs w:val="22"/>
        </w:rPr>
        <w:t>3 Key Takeaways:</w:t>
      </w:r>
    </w:p>
    <w:p w14:paraId="351D15BC" w14:textId="77777777" w:rsidR="003064D5" w:rsidRPr="00B16076" w:rsidRDefault="003064D5" w:rsidP="003064D5">
      <w:pPr>
        <w:numPr>
          <w:ilvl w:val="0"/>
          <w:numId w:val="24"/>
        </w:numPr>
        <w:rPr>
          <w:rFonts w:ascii="Arial" w:hAnsi="Arial" w:cs="Arial"/>
          <w:sz w:val="22"/>
          <w:szCs w:val="22"/>
        </w:rPr>
      </w:pPr>
      <w:r w:rsidRPr="00B16076">
        <w:rPr>
          <w:rFonts w:ascii="Arial" w:hAnsi="Arial" w:cs="Arial"/>
          <w:sz w:val="22"/>
          <w:szCs w:val="22"/>
        </w:rPr>
        <w:t>Mental health thrives in connection and community, not isolation.</w:t>
      </w:r>
    </w:p>
    <w:p w14:paraId="37D7A8EF" w14:textId="77777777" w:rsidR="003064D5" w:rsidRPr="00B16076" w:rsidRDefault="003064D5" w:rsidP="003064D5">
      <w:pPr>
        <w:numPr>
          <w:ilvl w:val="0"/>
          <w:numId w:val="24"/>
        </w:numPr>
        <w:rPr>
          <w:rFonts w:ascii="Arial" w:hAnsi="Arial" w:cs="Arial"/>
          <w:sz w:val="22"/>
          <w:szCs w:val="22"/>
        </w:rPr>
      </w:pPr>
      <w:r w:rsidRPr="00B16076">
        <w:rPr>
          <w:rFonts w:ascii="Arial" w:hAnsi="Arial" w:cs="Arial"/>
          <w:sz w:val="22"/>
          <w:szCs w:val="22"/>
        </w:rPr>
        <w:t>Mental Health First Aiders, Wellbeing Action Plans, and supportive HR culture are key tools.</w:t>
      </w:r>
    </w:p>
    <w:p w14:paraId="6778B848" w14:textId="77777777" w:rsidR="003064D5" w:rsidRPr="00B16076" w:rsidRDefault="003064D5" w:rsidP="003064D5">
      <w:pPr>
        <w:numPr>
          <w:ilvl w:val="0"/>
          <w:numId w:val="24"/>
        </w:numPr>
        <w:rPr>
          <w:rFonts w:ascii="Arial" w:hAnsi="Arial" w:cs="Arial"/>
          <w:sz w:val="22"/>
          <w:szCs w:val="22"/>
        </w:rPr>
      </w:pPr>
      <w:r w:rsidRPr="00B16076">
        <w:rPr>
          <w:rFonts w:ascii="Arial" w:hAnsi="Arial" w:cs="Arial"/>
          <w:sz w:val="22"/>
          <w:szCs w:val="22"/>
        </w:rPr>
        <w:t>Small, practical actions build a healthier, safer, and more productive workplace.</w:t>
      </w:r>
    </w:p>
    <w:p w14:paraId="1D428BBC" w14:textId="77777777" w:rsidR="003064D5" w:rsidRPr="003064D5" w:rsidRDefault="00B16076" w:rsidP="003064D5">
      <w:pPr>
        <w:rPr>
          <w:rFonts w:ascii="Arial" w:hAnsi="Arial" w:cs="Arial"/>
          <w:b/>
          <w:bCs/>
          <w:sz w:val="22"/>
          <w:szCs w:val="22"/>
        </w:rPr>
      </w:pPr>
      <w:r>
        <w:rPr>
          <w:rFonts w:ascii="Arial" w:hAnsi="Arial" w:cs="Arial"/>
          <w:b/>
          <w:bCs/>
          <w:sz w:val="22"/>
          <w:szCs w:val="22"/>
        </w:rPr>
        <w:pict w14:anchorId="16738B41">
          <v:rect id="_x0000_i1030" style="width:0;height:1.5pt" o:hralign="center" o:hrstd="t" o:hr="t" fillcolor="#a0a0a0" stroked="f"/>
        </w:pict>
      </w:r>
    </w:p>
    <w:p w14:paraId="1CF75C27" w14:textId="05E3BD60" w:rsidR="003064D5" w:rsidRPr="003064D5" w:rsidRDefault="003064D5" w:rsidP="003064D5">
      <w:pPr>
        <w:rPr>
          <w:rFonts w:ascii="Arial" w:hAnsi="Arial" w:cs="Arial"/>
          <w:b/>
          <w:bCs/>
          <w:sz w:val="22"/>
          <w:szCs w:val="22"/>
        </w:rPr>
      </w:pPr>
      <w:r w:rsidRPr="003064D5">
        <w:rPr>
          <w:rFonts w:ascii="Arial" w:hAnsi="Arial" w:cs="Arial"/>
          <w:b/>
          <w:bCs/>
          <w:sz w:val="22"/>
          <w:szCs w:val="22"/>
        </w:rPr>
        <w:t>Closing Summary:</w:t>
      </w:r>
      <w:r w:rsidRPr="003064D5">
        <w:rPr>
          <w:rFonts w:ascii="Arial" w:hAnsi="Arial" w:cs="Arial"/>
          <w:b/>
          <w:bCs/>
          <w:sz w:val="22"/>
          <w:szCs w:val="22"/>
        </w:rPr>
        <w:br/>
      </w:r>
      <w:r w:rsidRPr="00B16076">
        <w:rPr>
          <w:rFonts w:ascii="Arial" w:hAnsi="Arial" w:cs="Arial"/>
          <w:sz w:val="22"/>
          <w:szCs w:val="22"/>
        </w:rPr>
        <w:t xml:space="preserve">Creating a mentally healthy workplace isn’t just about reacting to problems </w:t>
      </w:r>
      <w:r w:rsidR="00B16076" w:rsidRPr="00B16076">
        <w:rPr>
          <w:rFonts w:ascii="Arial" w:hAnsi="Arial" w:cs="Arial"/>
          <w:sz w:val="22"/>
          <w:szCs w:val="22"/>
        </w:rPr>
        <w:t>-</w:t>
      </w:r>
      <w:r w:rsidRPr="00B16076">
        <w:rPr>
          <w:rFonts w:ascii="Arial" w:hAnsi="Arial" w:cs="Arial"/>
          <w:sz w:val="22"/>
          <w:szCs w:val="22"/>
        </w:rPr>
        <w:t xml:space="preserve"> it’s about building a connected community where everyone feels supported and safe to speak up. This benefits individuals and the business alike, helping people stay well, engaged, and committed. Let’s all play our part in fostering this culture every day.</w:t>
      </w:r>
    </w:p>
    <w:sectPr w:rsidR="003064D5" w:rsidRPr="003064D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E1E6" w14:textId="77777777" w:rsidR="003064D5" w:rsidRPr="008856D3" w:rsidRDefault="003064D5" w:rsidP="006D5CB9">
      <w:pPr>
        <w:spacing w:after="0" w:line="240" w:lineRule="auto"/>
      </w:pPr>
      <w:r w:rsidRPr="008856D3">
        <w:separator/>
      </w:r>
    </w:p>
  </w:endnote>
  <w:endnote w:type="continuationSeparator" w:id="0">
    <w:p w14:paraId="5C727B5C" w14:textId="77777777" w:rsidR="003064D5" w:rsidRPr="008856D3" w:rsidRDefault="003064D5" w:rsidP="006D5CB9">
      <w:pPr>
        <w:spacing w:after="0" w:line="240" w:lineRule="auto"/>
      </w:pPr>
      <w:r w:rsidRPr="00885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6610" w14:textId="77777777" w:rsidR="006D5CB9" w:rsidRPr="008856D3" w:rsidRDefault="0051019B" w:rsidP="00C77902">
    <w:pPr>
      <w:pStyle w:val="Footer"/>
      <w:tabs>
        <w:tab w:val="clear" w:pos="9026"/>
      </w:tabs>
    </w:pPr>
    <w:r w:rsidRPr="008856D3">
      <w:rPr>
        <w:noProof/>
      </w:rPr>
      <mc:AlternateContent>
        <mc:Choice Requires="wps">
          <w:drawing>
            <wp:anchor distT="45720" distB="45720" distL="114300" distR="114300" simplePos="0" relativeHeight="251662336" behindDoc="0" locked="0" layoutInCell="1" allowOverlap="1" wp14:anchorId="5B793192" wp14:editId="536F88B4">
              <wp:simplePos x="0" y="0"/>
              <wp:positionH relativeFrom="margin">
                <wp:align>right</wp:align>
              </wp:positionH>
              <wp:positionV relativeFrom="margin">
                <wp:posOffset>9376634</wp:posOffset>
              </wp:positionV>
              <wp:extent cx="573405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85750"/>
                      </a:xfrm>
                      <a:prstGeom prst="rect">
                        <a:avLst/>
                      </a:prstGeom>
                      <a:noFill/>
                      <a:ln w="9525">
                        <a:noFill/>
                        <a:miter lim="800000"/>
                        <a:headEnd/>
                        <a:tailEnd/>
                      </a:ln>
                    </wps:spPr>
                    <wps:txbx>
                      <w:txbxContent>
                        <w:p w14:paraId="483D1D3A" w14:textId="77777777" w:rsidR="0051019B" w:rsidRPr="008856D3" w:rsidRDefault="0051019B" w:rsidP="0051019B">
                          <w:pPr>
                            <w:jc w:val="center"/>
                            <w:rPr>
                              <w:rFonts w:ascii="Arial" w:hAnsi="Arial" w:cs="Arial"/>
                              <w:sz w:val="20"/>
                              <w:szCs w:val="20"/>
                            </w:rPr>
                          </w:pPr>
                          <w:r w:rsidRPr="008856D3">
                            <w:rPr>
                              <w:rFonts w:ascii="Arial" w:hAnsi="Arial" w:cs="Arial"/>
                              <w:sz w:val="20"/>
                              <w:szCs w:val="20"/>
                            </w:rPr>
                            <w:t xml:space="preserve">More free resources at </w:t>
                          </w:r>
                          <w:hyperlink r:id="rId1" w:history="1">
                            <w:r w:rsidRPr="008856D3">
                              <w:rPr>
                                <w:rStyle w:val="Hyperlink"/>
                                <w:rFonts w:ascii="Arial" w:hAnsi="Arial" w:cs="Arial"/>
                                <w:sz w:val="20"/>
                                <w:szCs w:val="20"/>
                              </w:rPr>
                              <w:t>thsp.co.uk/knowledge-hub/</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793192" id="_x0000_t202" coordsize="21600,21600" o:spt="202" path="m,l,21600r21600,l21600,xe">
              <v:stroke joinstyle="miter"/>
              <v:path gradientshapeok="t" o:connecttype="rect"/>
            </v:shapetype>
            <v:shape id="Text Box 2" o:spid="_x0000_s1026" type="#_x0000_t202" style="position:absolute;margin-left:400.3pt;margin-top:738.3pt;width:451.5pt;height:2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" filled="f" stroked="f">
              <v:textbox>
                <w:txbxContent>
                  <w:p w14:paraId="483D1D3A" w14:textId="77777777" w:rsidR="0051019B" w:rsidRPr="008856D3" w:rsidRDefault="0051019B" w:rsidP="0051019B">
                    <w:pPr>
                      <w:jc w:val="center"/>
                      <w:rPr>
                        <w:rFonts w:ascii="Arial" w:hAnsi="Arial" w:cs="Arial"/>
                        <w:sz w:val="20"/>
                        <w:szCs w:val="20"/>
                      </w:rPr>
                    </w:pPr>
                    <w:r w:rsidRPr="008856D3">
                      <w:rPr>
                        <w:rFonts w:ascii="Arial" w:hAnsi="Arial" w:cs="Arial"/>
                        <w:sz w:val="20"/>
                        <w:szCs w:val="20"/>
                      </w:rPr>
                      <w:t xml:space="preserve">More free resources at </w:t>
                    </w:r>
                    <w:hyperlink r:id="rId2" w:history="1">
                      <w:r w:rsidRPr="008856D3">
                        <w:rPr>
                          <w:rStyle w:val="Hyperlink"/>
                          <w:rFonts w:ascii="Arial" w:hAnsi="Arial" w:cs="Arial"/>
                          <w:sz w:val="20"/>
                          <w:szCs w:val="20"/>
                        </w:rPr>
                        <w:t>thsp.co.uk/knowledge-hub/</w:t>
                      </w:r>
                    </w:hyperlink>
                  </w:p>
                </w:txbxContent>
              </v:textbox>
              <w10:wrap type="square" anchorx="margin" anchory="margin"/>
            </v:shape>
          </w:pict>
        </mc:Fallback>
      </mc:AlternateContent>
    </w:r>
    <w:r w:rsidRPr="008856D3">
      <w:rPr>
        <w:noProof/>
      </w:rPr>
      <w:drawing>
        <wp:anchor distT="0" distB="0" distL="114300" distR="114300" simplePos="0" relativeHeight="251660288" behindDoc="1" locked="0" layoutInCell="1" allowOverlap="1" wp14:anchorId="78DC32FC" wp14:editId="329CE655">
          <wp:simplePos x="0" y="0"/>
          <wp:positionH relativeFrom="margin">
            <wp:align>center</wp:align>
          </wp:positionH>
          <wp:positionV relativeFrom="bottomMargin">
            <wp:align>top</wp:align>
          </wp:positionV>
          <wp:extent cx="649941" cy="522055"/>
          <wp:effectExtent l="0" t="0" r="0" b="0"/>
          <wp:wrapNone/>
          <wp:docPr id="1222909811" name="Picture 3" descr="A green and yellow heart shaped loo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09811" name="Picture 3" descr="A green and yellow heart shaped loop&#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649941" cy="522055"/>
                  </a:xfrm>
                  <a:prstGeom prst="rect">
                    <a:avLst/>
                  </a:prstGeom>
                </pic:spPr>
              </pic:pic>
            </a:graphicData>
          </a:graphic>
          <wp14:sizeRelH relativeFrom="margin">
            <wp14:pctWidth>0</wp14:pctWidth>
          </wp14:sizeRelH>
          <wp14:sizeRelV relativeFrom="margin">
            <wp14:pctHeight>0</wp14:pctHeight>
          </wp14:sizeRelV>
        </wp:anchor>
      </w:drawing>
    </w:r>
    <w:r w:rsidR="00C7790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8BFAD" w14:textId="77777777" w:rsidR="003064D5" w:rsidRPr="008856D3" w:rsidRDefault="003064D5" w:rsidP="006D5CB9">
      <w:pPr>
        <w:spacing w:after="0" w:line="240" w:lineRule="auto"/>
      </w:pPr>
      <w:r w:rsidRPr="008856D3">
        <w:separator/>
      </w:r>
    </w:p>
  </w:footnote>
  <w:footnote w:type="continuationSeparator" w:id="0">
    <w:p w14:paraId="64825D13" w14:textId="77777777" w:rsidR="003064D5" w:rsidRPr="008856D3" w:rsidRDefault="003064D5" w:rsidP="006D5CB9">
      <w:pPr>
        <w:spacing w:after="0" w:line="240" w:lineRule="auto"/>
      </w:pPr>
      <w:r w:rsidRPr="008856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82D6" w14:textId="77777777" w:rsidR="006D5CB9" w:rsidRPr="008856D3" w:rsidRDefault="006D5CB9" w:rsidP="006D5CB9">
    <w:pPr>
      <w:pStyle w:val="Header"/>
      <w:tabs>
        <w:tab w:val="clear" w:pos="4513"/>
        <w:tab w:val="clear" w:pos="9026"/>
        <w:tab w:val="left" w:pos="1185"/>
      </w:tabs>
    </w:pPr>
    <w:r w:rsidRPr="008856D3">
      <w:rPr>
        <w:noProof/>
      </w:rPr>
      <w:drawing>
        <wp:anchor distT="0" distB="0" distL="114300" distR="114300" simplePos="0" relativeHeight="251659264" behindDoc="1" locked="0" layoutInCell="1" allowOverlap="1" wp14:anchorId="5B47AACD" wp14:editId="677054FC">
          <wp:simplePos x="0" y="0"/>
          <wp:positionH relativeFrom="margin">
            <wp:align>left</wp:align>
          </wp:positionH>
          <wp:positionV relativeFrom="topMargin">
            <wp:align>bottom</wp:align>
          </wp:positionV>
          <wp:extent cx="2737456" cy="720000"/>
          <wp:effectExtent l="0" t="0" r="6350" b="4445"/>
          <wp:wrapNone/>
          <wp:docPr id="1214178267" name="Picture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78267" name="Picture 1" descr="A blu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37456" cy="720000"/>
                  </a:xfrm>
                  <a:prstGeom prst="rect">
                    <a:avLst/>
                  </a:prstGeom>
                </pic:spPr>
              </pic:pic>
            </a:graphicData>
          </a:graphic>
          <wp14:sizeRelH relativeFrom="margin">
            <wp14:pctWidth>0</wp14:pctWidth>
          </wp14:sizeRelH>
          <wp14:sizeRelV relativeFrom="margin">
            <wp14:pctHeight>0</wp14:pctHeight>
          </wp14:sizeRelV>
        </wp:anchor>
      </w:drawing>
    </w:r>
    <w:r w:rsidRPr="008856D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4D1"/>
    <w:multiLevelType w:val="multilevel"/>
    <w:tmpl w:val="019877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E0D70"/>
    <w:multiLevelType w:val="multilevel"/>
    <w:tmpl w:val="8D86BD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B0F792D"/>
    <w:multiLevelType w:val="multilevel"/>
    <w:tmpl w:val="2AD8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F6DEA"/>
    <w:multiLevelType w:val="multilevel"/>
    <w:tmpl w:val="F8EE79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2F57CB2"/>
    <w:multiLevelType w:val="multilevel"/>
    <w:tmpl w:val="170A454E"/>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3D74EF4"/>
    <w:multiLevelType w:val="multilevel"/>
    <w:tmpl w:val="529211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9300103"/>
    <w:multiLevelType w:val="multilevel"/>
    <w:tmpl w:val="EBA0E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A09E8"/>
    <w:multiLevelType w:val="multilevel"/>
    <w:tmpl w:val="8858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E3E16"/>
    <w:multiLevelType w:val="multilevel"/>
    <w:tmpl w:val="172C5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C07E9"/>
    <w:multiLevelType w:val="multilevel"/>
    <w:tmpl w:val="42F4DE52"/>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A343D52"/>
    <w:multiLevelType w:val="multilevel"/>
    <w:tmpl w:val="6B8E7E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B4F2007"/>
    <w:multiLevelType w:val="multilevel"/>
    <w:tmpl w:val="AF26E6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44D2A63"/>
    <w:multiLevelType w:val="multilevel"/>
    <w:tmpl w:val="BF0C9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62439"/>
    <w:multiLevelType w:val="multilevel"/>
    <w:tmpl w:val="AEF8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070730"/>
    <w:multiLevelType w:val="multilevel"/>
    <w:tmpl w:val="F544B970"/>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C927EDC"/>
    <w:multiLevelType w:val="multilevel"/>
    <w:tmpl w:val="FF54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151C92"/>
    <w:multiLevelType w:val="multilevel"/>
    <w:tmpl w:val="68760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640829"/>
    <w:multiLevelType w:val="multilevel"/>
    <w:tmpl w:val="9D428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74663F"/>
    <w:multiLevelType w:val="multilevel"/>
    <w:tmpl w:val="AC4ED6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FAF0662"/>
    <w:multiLevelType w:val="multilevel"/>
    <w:tmpl w:val="0730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941B16"/>
    <w:multiLevelType w:val="multilevel"/>
    <w:tmpl w:val="B63E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0A67A9"/>
    <w:multiLevelType w:val="multilevel"/>
    <w:tmpl w:val="24B6A04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71645740"/>
    <w:multiLevelType w:val="multilevel"/>
    <w:tmpl w:val="EE74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AC7EBF"/>
    <w:multiLevelType w:val="multilevel"/>
    <w:tmpl w:val="7DCA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057318">
    <w:abstractNumId w:val="15"/>
  </w:num>
  <w:num w:numId="2" w16cid:durableId="1374498995">
    <w:abstractNumId w:val="12"/>
  </w:num>
  <w:num w:numId="3" w16cid:durableId="1693651878">
    <w:abstractNumId w:val="2"/>
  </w:num>
  <w:num w:numId="4" w16cid:durableId="1926182651">
    <w:abstractNumId w:val="22"/>
  </w:num>
  <w:num w:numId="5" w16cid:durableId="298343097">
    <w:abstractNumId w:val="0"/>
  </w:num>
  <w:num w:numId="6" w16cid:durableId="143934075">
    <w:abstractNumId w:val="8"/>
  </w:num>
  <w:num w:numId="7" w16cid:durableId="1339313498">
    <w:abstractNumId w:val="6"/>
  </w:num>
  <w:num w:numId="8" w16cid:durableId="93936955">
    <w:abstractNumId w:val="13"/>
  </w:num>
  <w:num w:numId="9" w16cid:durableId="425158192">
    <w:abstractNumId w:val="23"/>
  </w:num>
  <w:num w:numId="10" w16cid:durableId="1767529873">
    <w:abstractNumId w:val="7"/>
  </w:num>
  <w:num w:numId="11" w16cid:durableId="1267229358">
    <w:abstractNumId w:val="17"/>
  </w:num>
  <w:num w:numId="12" w16cid:durableId="2142722020">
    <w:abstractNumId w:val="20"/>
  </w:num>
  <w:num w:numId="13" w16cid:durableId="233781273">
    <w:abstractNumId w:val="19"/>
  </w:num>
  <w:num w:numId="14" w16cid:durableId="109934801">
    <w:abstractNumId w:val="18"/>
  </w:num>
  <w:num w:numId="15" w16cid:durableId="1775784827">
    <w:abstractNumId w:val="10"/>
  </w:num>
  <w:num w:numId="16" w16cid:durableId="471944840">
    <w:abstractNumId w:val="21"/>
  </w:num>
  <w:num w:numId="17" w16cid:durableId="353003464">
    <w:abstractNumId w:val="1"/>
  </w:num>
  <w:num w:numId="18" w16cid:durableId="1168322522">
    <w:abstractNumId w:val="9"/>
  </w:num>
  <w:num w:numId="19" w16cid:durableId="1881166384">
    <w:abstractNumId w:val="3"/>
  </w:num>
  <w:num w:numId="20" w16cid:durableId="914896937">
    <w:abstractNumId w:val="14"/>
  </w:num>
  <w:num w:numId="21" w16cid:durableId="205534505">
    <w:abstractNumId w:val="11"/>
  </w:num>
  <w:num w:numId="22" w16cid:durableId="241381199">
    <w:abstractNumId w:val="4"/>
  </w:num>
  <w:num w:numId="23" w16cid:durableId="1503738965">
    <w:abstractNumId w:val="5"/>
  </w:num>
  <w:num w:numId="24" w16cid:durableId="8677146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IxNzY2NAdSRpYG5ko6SsGpxcWZ+XkgBYa1APbzeFEsAAAA"/>
  </w:docVars>
  <w:rsids>
    <w:rsidRoot w:val="003064D5"/>
    <w:rsid w:val="000F50C2"/>
    <w:rsid w:val="00125197"/>
    <w:rsid w:val="00161DFE"/>
    <w:rsid w:val="001F1079"/>
    <w:rsid w:val="00203B05"/>
    <w:rsid w:val="00215998"/>
    <w:rsid w:val="002C1396"/>
    <w:rsid w:val="002D1E03"/>
    <w:rsid w:val="003064D5"/>
    <w:rsid w:val="003C063A"/>
    <w:rsid w:val="003E6765"/>
    <w:rsid w:val="00410E61"/>
    <w:rsid w:val="00476AE5"/>
    <w:rsid w:val="004A57A7"/>
    <w:rsid w:val="0051019B"/>
    <w:rsid w:val="005B7091"/>
    <w:rsid w:val="005B7856"/>
    <w:rsid w:val="006B43F8"/>
    <w:rsid w:val="006D5CB9"/>
    <w:rsid w:val="00754494"/>
    <w:rsid w:val="007909E1"/>
    <w:rsid w:val="00790F28"/>
    <w:rsid w:val="00845600"/>
    <w:rsid w:val="00851A33"/>
    <w:rsid w:val="008819FB"/>
    <w:rsid w:val="008850AA"/>
    <w:rsid w:val="008856D3"/>
    <w:rsid w:val="009C64F2"/>
    <w:rsid w:val="00A06381"/>
    <w:rsid w:val="00B16076"/>
    <w:rsid w:val="00C77902"/>
    <w:rsid w:val="00D07FE1"/>
    <w:rsid w:val="00D260C4"/>
    <w:rsid w:val="00DB25F4"/>
    <w:rsid w:val="00DC7A1B"/>
    <w:rsid w:val="00E000AB"/>
    <w:rsid w:val="00F12483"/>
    <w:rsid w:val="00F8710E"/>
    <w:rsid w:val="00F97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0340FE3"/>
  <w15:chartTrackingRefBased/>
  <w15:docId w15:val="{DCC65665-53E4-476E-8FD8-A5399C8D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9FB"/>
    <w:rPr>
      <w:rFonts w:eastAsiaTheme="majorEastAsia" w:cstheme="majorBidi"/>
      <w:color w:val="272727" w:themeColor="text1" w:themeTint="D8"/>
    </w:rPr>
  </w:style>
  <w:style w:type="paragraph" w:styleId="Title">
    <w:name w:val="Title"/>
    <w:basedOn w:val="Normal"/>
    <w:next w:val="Normal"/>
    <w:link w:val="TitleChar"/>
    <w:uiPriority w:val="10"/>
    <w:qFormat/>
    <w:rsid w:val="00881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9FB"/>
    <w:pPr>
      <w:spacing w:before="160"/>
      <w:jc w:val="center"/>
    </w:pPr>
    <w:rPr>
      <w:i/>
      <w:iCs/>
      <w:color w:val="404040" w:themeColor="text1" w:themeTint="BF"/>
    </w:rPr>
  </w:style>
  <w:style w:type="character" w:customStyle="1" w:styleId="QuoteChar">
    <w:name w:val="Quote Char"/>
    <w:basedOn w:val="DefaultParagraphFont"/>
    <w:link w:val="Quote"/>
    <w:uiPriority w:val="29"/>
    <w:rsid w:val="008819FB"/>
    <w:rPr>
      <w:i/>
      <w:iCs/>
      <w:color w:val="404040" w:themeColor="text1" w:themeTint="BF"/>
    </w:rPr>
  </w:style>
  <w:style w:type="paragraph" w:styleId="ListParagraph">
    <w:name w:val="List Paragraph"/>
    <w:basedOn w:val="Normal"/>
    <w:uiPriority w:val="34"/>
    <w:qFormat/>
    <w:rsid w:val="008819FB"/>
    <w:pPr>
      <w:ind w:left="720"/>
      <w:contextualSpacing/>
    </w:pPr>
  </w:style>
  <w:style w:type="character" w:styleId="IntenseEmphasis">
    <w:name w:val="Intense Emphasis"/>
    <w:basedOn w:val="DefaultParagraphFont"/>
    <w:uiPriority w:val="21"/>
    <w:qFormat/>
    <w:rsid w:val="008819FB"/>
    <w:rPr>
      <w:i/>
      <w:iCs/>
      <w:color w:val="0F4761" w:themeColor="accent1" w:themeShade="BF"/>
    </w:rPr>
  </w:style>
  <w:style w:type="paragraph" w:styleId="IntenseQuote">
    <w:name w:val="Intense Quote"/>
    <w:basedOn w:val="Normal"/>
    <w:next w:val="Normal"/>
    <w:link w:val="IntenseQuoteChar"/>
    <w:uiPriority w:val="30"/>
    <w:qFormat/>
    <w:rsid w:val="00881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9FB"/>
    <w:rPr>
      <w:i/>
      <w:iCs/>
      <w:color w:val="0F4761" w:themeColor="accent1" w:themeShade="BF"/>
    </w:rPr>
  </w:style>
  <w:style w:type="character" w:styleId="IntenseReference">
    <w:name w:val="Intense Reference"/>
    <w:basedOn w:val="DefaultParagraphFont"/>
    <w:uiPriority w:val="32"/>
    <w:qFormat/>
    <w:rsid w:val="008819FB"/>
    <w:rPr>
      <w:b/>
      <w:bCs/>
      <w:smallCaps/>
      <w:color w:val="0F4761" w:themeColor="accent1" w:themeShade="BF"/>
      <w:spacing w:val="5"/>
    </w:rPr>
  </w:style>
  <w:style w:type="paragraph" w:styleId="Header">
    <w:name w:val="header"/>
    <w:basedOn w:val="Normal"/>
    <w:link w:val="HeaderChar"/>
    <w:uiPriority w:val="99"/>
    <w:unhideWhenUsed/>
    <w:rsid w:val="006D5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CB9"/>
  </w:style>
  <w:style w:type="paragraph" w:styleId="Footer">
    <w:name w:val="footer"/>
    <w:basedOn w:val="Normal"/>
    <w:link w:val="FooterChar"/>
    <w:uiPriority w:val="99"/>
    <w:unhideWhenUsed/>
    <w:rsid w:val="006D5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CB9"/>
  </w:style>
  <w:style w:type="character" w:styleId="Hyperlink">
    <w:name w:val="Hyperlink"/>
    <w:basedOn w:val="DefaultParagraphFont"/>
    <w:uiPriority w:val="99"/>
    <w:unhideWhenUsed/>
    <w:rsid w:val="0051019B"/>
    <w:rPr>
      <w:color w:val="467886" w:themeColor="hyperlink"/>
      <w:u w:val="single"/>
    </w:rPr>
  </w:style>
  <w:style w:type="character" w:styleId="UnresolvedMention">
    <w:name w:val="Unresolved Mention"/>
    <w:basedOn w:val="DefaultParagraphFont"/>
    <w:uiPriority w:val="99"/>
    <w:semiHidden/>
    <w:unhideWhenUsed/>
    <w:rsid w:val="00510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7597">
      <w:bodyDiv w:val="1"/>
      <w:marLeft w:val="0"/>
      <w:marRight w:val="0"/>
      <w:marTop w:val="0"/>
      <w:marBottom w:val="0"/>
      <w:divBdr>
        <w:top w:val="none" w:sz="0" w:space="0" w:color="auto"/>
        <w:left w:val="none" w:sz="0" w:space="0" w:color="auto"/>
        <w:bottom w:val="none" w:sz="0" w:space="0" w:color="auto"/>
        <w:right w:val="none" w:sz="0" w:space="0" w:color="auto"/>
      </w:divBdr>
    </w:div>
    <w:div w:id="972104668">
      <w:bodyDiv w:val="1"/>
      <w:marLeft w:val="0"/>
      <w:marRight w:val="0"/>
      <w:marTop w:val="0"/>
      <w:marBottom w:val="0"/>
      <w:divBdr>
        <w:top w:val="none" w:sz="0" w:space="0" w:color="auto"/>
        <w:left w:val="none" w:sz="0" w:space="0" w:color="auto"/>
        <w:bottom w:val="none" w:sz="0" w:space="0" w:color="auto"/>
        <w:right w:val="none" w:sz="0" w:space="0" w:color="auto"/>
      </w:divBdr>
    </w:div>
    <w:div w:id="134112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thsp.co.uk/knowledge-hub/" TargetMode="External"/><Relationship Id="rId1" Type="http://schemas.openxmlformats.org/officeDocument/2006/relationships/hyperlink" Target="https://www.thsp.co.uk/knowledge-hu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Sales%20and%20Customer%20Collateral%20Master%20Folder~\Toolbox%20Talks\~THSP's%20Toolbox%20Talk%20Empt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A36E-44C7-41BE-83D3-91C3DAD0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~THSP's Toolbox Talk Empty Template~</Template>
  <TotalTime>3</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Mitchell</dc:creator>
  <cp:keywords/>
  <dc:description/>
  <cp:lastModifiedBy>Emma Mitchell</cp:lastModifiedBy>
  <cp:revision>2</cp:revision>
  <cp:lastPrinted>2025-01-23T14:15:00Z</cp:lastPrinted>
  <dcterms:created xsi:type="dcterms:W3CDTF">2025-05-23T11:28:00Z</dcterms:created>
  <dcterms:modified xsi:type="dcterms:W3CDTF">2025-06-02T14:03:00Z</dcterms:modified>
</cp:coreProperties>
</file>